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val="0"/>
        <w:spacing w:before="0" w:beforeAutospacing="0" w:after="0" w:afterAutospacing="0" w:line="460" w:lineRule="exact"/>
        <w:ind w:left="0" w:right="0"/>
        <w:jc w:val="left"/>
        <w:rPr>
          <w:rFonts w:hint="default" w:ascii="方正小标宋_GBK" w:hAnsi="方正小标宋_GBK" w:eastAsia="方正小标宋_GBK" w:cs="方正小标宋_GBK"/>
          <w:b w:val="0"/>
          <w:bCs/>
          <w:kern w:val="0"/>
          <w:sz w:val="32"/>
          <w:szCs w:val="32"/>
          <w:lang w:val="en-US" w:eastAsia="zh-CN" w:bidi="ar"/>
        </w:rPr>
      </w:pPr>
      <w:bookmarkStart w:id="0" w:name="_Toc74065961"/>
      <w:r>
        <w:rPr>
          <w:rFonts w:hint="eastAsia" w:ascii="方正小标宋_GBK" w:hAnsi="方正小标宋_GBK" w:eastAsia="方正小标宋_GBK" w:cs="方正小标宋_GBK"/>
          <w:b w:val="0"/>
          <w:bCs/>
          <w:kern w:val="0"/>
          <w:sz w:val="32"/>
          <w:szCs w:val="32"/>
          <w:lang w:val="en-US" w:eastAsia="zh-CN" w:bidi="ar"/>
        </w:rPr>
        <w:t>附件1</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授 权 委 托 书</w:t>
      </w:r>
    </w:p>
    <w:p>
      <w:pPr>
        <w:spacing w:line="520" w:lineRule="exact"/>
        <w:rPr>
          <w:rFonts w:hint="eastAsia" w:ascii="宋体" w:hAnsi="宋体"/>
          <w:position w:val="6"/>
          <w:sz w:val="28"/>
          <w:szCs w:val="30"/>
        </w:rPr>
      </w:pP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致：</w:t>
      </w:r>
      <w:r>
        <w:rPr>
          <w:rFonts w:hint="eastAsia" w:ascii="仿宋_GB2312" w:hAnsi="仿宋_GB2312" w:eastAsia="仿宋_GB2312" w:cs="仿宋_GB2312"/>
          <w:sz w:val="32"/>
          <w:szCs w:val="32"/>
          <w:u w:val="single"/>
        </w:rPr>
        <w:t xml:space="preserve">         （招标人）          </w:t>
      </w:r>
    </w:p>
    <w:p>
      <w:pPr>
        <w:spacing w:line="560" w:lineRule="exact"/>
        <w:ind w:firstLine="57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本授权委托书声明：我</w:t>
      </w:r>
      <w:r>
        <w:rPr>
          <w:rFonts w:hint="eastAsia" w:ascii="仿宋_GB2312" w:hAnsi="仿宋_GB2312" w:eastAsia="仿宋_GB2312" w:cs="仿宋_GB2312"/>
          <w:sz w:val="32"/>
          <w:szCs w:val="32"/>
          <w:u w:val="single"/>
        </w:rPr>
        <w:t xml:space="preserve">   （法定代表人姓名）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（投标人名称）  </w:t>
      </w:r>
      <w:r>
        <w:rPr>
          <w:rFonts w:hint="eastAsia" w:ascii="仿宋_GB2312" w:hAnsi="仿宋_GB2312" w:eastAsia="仿宋_GB2312" w:cs="仿宋_GB2312"/>
          <w:sz w:val="32"/>
          <w:szCs w:val="32"/>
        </w:rPr>
        <w:t>的法定代表人，经合法授权，现委托我公司职工</w:t>
      </w:r>
      <w:r>
        <w:rPr>
          <w:rFonts w:hint="eastAsia" w:ascii="仿宋_GB2312" w:hAnsi="仿宋_GB2312" w:eastAsia="仿宋_GB2312" w:cs="仿宋_GB2312"/>
          <w:sz w:val="32"/>
          <w:szCs w:val="32"/>
          <w:u w:val="single"/>
        </w:rPr>
        <w:t xml:space="preserve">   （姓名）    </w:t>
      </w:r>
      <w:r>
        <w:rPr>
          <w:rFonts w:hint="eastAsia" w:ascii="仿宋_GB2312" w:hAnsi="仿宋_GB2312" w:eastAsia="仿宋_GB2312" w:cs="仿宋_GB2312"/>
          <w:sz w:val="32"/>
          <w:szCs w:val="32"/>
        </w:rPr>
        <w:t>为我方正式合法代理人，参加</w:t>
      </w:r>
      <w:r>
        <w:rPr>
          <w:rFonts w:hint="eastAsia" w:ascii="仿宋_GB2312" w:hAnsi="仿宋_GB2312" w:eastAsia="仿宋_GB2312" w:cs="仿宋_GB2312"/>
          <w:sz w:val="32"/>
          <w:szCs w:val="32"/>
          <w:u w:val="single"/>
        </w:rPr>
        <w:t xml:space="preserve">        （工程项目）            </w:t>
      </w:r>
      <w:r>
        <w:rPr>
          <w:rFonts w:hint="eastAsia" w:ascii="仿宋_GB2312" w:hAnsi="仿宋_GB2312" w:eastAsia="仿宋_GB2312" w:cs="仿宋_GB2312"/>
          <w:sz w:val="32"/>
          <w:szCs w:val="32"/>
        </w:rPr>
        <w:t>设计投标，并授权代理人以我方的名义在投标、开标、评标、合同谈判过程中签署一切文件和处理与之有关事宜，其法律后果由我方承担。</w:t>
      </w:r>
    </w:p>
    <w:p>
      <w:pPr>
        <w:spacing w:line="560" w:lineRule="exact"/>
        <w:ind w:firstLine="640" w:firstLineChars="200"/>
        <w:rPr>
          <w:rFonts w:hint="eastAsia" w:ascii="仿宋_GB2312" w:hAnsi="仿宋_GB2312" w:eastAsia="仿宋_GB2312" w:cs="仿宋_GB2312"/>
          <w:position w:val="6"/>
          <w:sz w:val="32"/>
          <w:szCs w:val="32"/>
          <w:u w:val="single"/>
        </w:rPr>
      </w:pPr>
      <w:r>
        <w:rPr>
          <w:rFonts w:hint="eastAsia" w:ascii="仿宋_GB2312" w:hAnsi="仿宋_GB2312" w:eastAsia="仿宋_GB2312" w:cs="仿宋_GB2312"/>
          <w:sz w:val="32"/>
          <w:szCs w:val="32"/>
        </w:rPr>
        <w:t>委托期限：</w:t>
      </w:r>
      <w:r>
        <w:rPr>
          <w:rFonts w:hint="eastAsia" w:ascii="仿宋_GB2312" w:hAnsi="仿宋_GB2312" w:eastAsia="仿宋_GB2312" w:cs="仿宋_GB2312"/>
          <w:sz w:val="32"/>
          <w:szCs w:val="32"/>
          <w:u w:val="single"/>
        </w:rPr>
        <w:t xml:space="preserve">                                           </w:t>
      </w:r>
    </w:p>
    <w:p>
      <w:pPr>
        <w:spacing w:line="560" w:lineRule="exact"/>
        <w:ind w:firstLine="57"/>
        <w:rPr>
          <w:rFonts w:hint="eastAsia" w:ascii="仿宋_GB2312" w:hAnsi="仿宋_GB2312" w:eastAsia="仿宋_GB2312" w:cs="仿宋_GB2312"/>
          <w:position w:val="6"/>
          <w:sz w:val="32"/>
          <w:szCs w:val="32"/>
        </w:rPr>
      </w:pPr>
      <w:r>
        <w:rPr>
          <w:rFonts w:hint="eastAsia" w:ascii="仿宋_GB2312" w:hAnsi="仿宋_GB2312" w:eastAsia="仿宋_GB2312" w:cs="仿宋_GB2312"/>
          <w:position w:val="6"/>
          <w:sz w:val="32"/>
          <w:szCs w:val="32"/>
        </w:rPr>
        <w:t xml:space="preserve">    </w:t>
      </w:r>
    </w:p>
    <w:p>
      <w:pPr>
        <w:spacing w:line="560" w:lineRule="exact"/>
        <w:ind w:firstLine="723" w:firstLineChars="226"/>
        <w:rPr>
          <w:rFonts w:hint="eastAsia" w:ascii="仿宋_GB2312" w:hAnsi="仿宋_GB2312" w:eastAsia="仿宋_GB2312" w:cs="仿宋_GB2312"/>
          <w:position w:val="6"/>
          <w:sz w:val="32"/>
          <w:szCs w:val="32"/>
          <w:lang w:eastAsia="zh-CN"/>
        </w:rPr>
      </w:pPr>
      <w:r>
        <w:rPr>
          <w:rFonts w:hint="eastAsia" w:ascii="仿宋_GB2312" w:hAnsi="仿宋_GB2312" w:eastAsia="仿宋_GB2312" w:cs="仿宋_GB2312"/>
          <w:position w:val="6"/>
          <w:sz w:val="32"/>
          <w:szCs w:val="32"/>
        </w:rPr>
        <w:t>代理人无转委托权</w:t>
      </w:r>
      <w:r>
        <w:rPr>
          <w:rFonts w:hint="eastAsia" w:ascii="仿宋_GB2312" w:hAnsi="仿宋_GB2312" w:eastAsia="仿宋_GB2312" w:cs="仿宋_GB2312"/>
          <w:position w:val="6"/>
          <w:sz w:val="32"/>
          <w:szCs w:val="32"/>
          <w:lang w:eastAsia="zh-CN"/>
        </w:rPr>
        <w:t>。</w:t>
      </w:r>
    </w:p>
    <w:p>
      <w:pPr>
        <w:spacing w:line="560" w:lineRule="exact"/>
        <w:rPr>
          <w:rFonts w:hint="eastAsia" w:ascii="仿宋_GB2312" w:hAnsi="仿宋_GB2312" w:eastAsia="仿宋_GB2312" w:cs="仿宋_GB2312"/>
          <w:sz w:val="32"/>
          <w:szCs w:val="32"/>
        </w:rPr>
      </w:pPr>
    </w:p>
    <w:p>
      <w:pPr>
        <w:spacing w:line="700" w:lineRule="exact"/>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投  标  人（盖</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委托代理人（签名或盖章）：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spacing w:line="7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spacing w:line="560" w:lineRule="exact"/>
        <w:rPr>
          <w:rFonts w:hint="eastAsia" w:ascii="仿宋_GB2312" w:hAnsi="仿宋_GB2312" w:eastAsia="仿宋_GB2312" w:cs="仿宋_GB2312"/>
          <w:sz w:val="32"/>
          <w:szCs w:val="32"/>
        </w:rPr>
      </w:pPr>
      <w:r>
        <w:rPr>
          <w:rFonts w:hint="eastAsia" w:ascii="宋体" w:hAnsi="宋体"/>
          <w:szCs w:val="21"/>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ind w:left="0" w:leftChars="0" w:firstLine="0" w:firstLineChars="0"/>
        <w:rPr>
          <w:rFonts w:hint="eastAsia"/>
          <w:lang w:val="en-US" w:eastAsia="zh-CN"/>
        </w:rPr>
      </w:pP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廉洁承诺书</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（招标人名称）：</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为维护市场公平竞争，营造诚实守信的招投标交易环境，我在此慎重作出如下承诺：</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1、我单位提供的一切材料都是真实、合法、有效的；</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2、我单位不与招标人、其他投标人及招标代理机构串通投标，损害国家利益、社会利益和他人的合法权益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严格遵守相关法律、法规、规章、规定，诚实守信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愿意承担因此产生的一切法律责任；</w:t>
      </w:r>
    </w:p>
    <w:p>
      <w:pPr>
        <w:pBdr>
          <w:top w:val="none" w:color="auto" w:sz="0" w:space="1"/>
          <w:left w:val="none" w:color="auto" w:sz="0" w:space="4"/>
          <w:bottom w:val="none" w:color="auto" w:sz="0" w:space="1"/>
          <w:right w:val="none" w:color="auto" w:sz="0" w:space="4"/>
        </w:pBd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、我单位在中标后不转包和非法分包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完全接受招标文件中关于付款比例、奖罚约定等相关条款，在中标合同履行中不违背合同实质性条款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否则你公司有权无条件解除合同，相关损失由我公司承担。</w:t>
      </w:r>
    </w:p>
    <w:p>
      <w:pPr>
        <w:spacing w:line="5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、我单位处于正常的经营状态，近三年内不存在被责令停业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取消投标资格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财产被接管或冻结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严重</w:t>
      </w:r>
      <w:bookmarkStart w:id="2" w:name="_GoBack"/>
      <w:bookmarkEnd w:id="2"/>
      <w:r>
        <w:rPr>
          <w:rFonts w:hint="eastAsia" w:ascii="仿宋_GB2312" w:hAnsi="仿宋_GB2312" w:eastAsia="仿宋_GB2312" w:cs="仿宋_GB2312"/>
          <w:sz w:val="32"/>
          <w:szCs w:val="32"/>
        </w:rPr>
        <w:t>违约</w:t>
      </w:r>
      <w:r>
        <w:rPr>
          <w:rFonts w:hint="eastAsia" w:ascii="仿宋_GB2312" w:hAnsi="仿宋_GB2312" w:eastAsia="仿宋_GB2312" w:cs="仿宋_GB2312"/>
          <w:sz w:val="32"/>
          <w:szCs w:val="32"/>
          <w:lang w:val="en-US" w:eastAsia="zh-CN"/>
        </w:rPr>
        <w:t>等重大违法行为</w:t>
      </w:r>
      <w:r>
        <w:rPr>
          <w:rFonts w:hint="eastAsia" w:ascii="方正小标宋_GBK" w:hAnsi="方正小标宋_GBK" w:eastAsia="方正小标宋_GBK" w:cs="方正小标宋_GBK"/>
          <w:b w:val="0"/>
          <w:bCs/>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本单位如有违反承诺内容的行为，自愿接受黄石市公共资源交易监督管理局及相关行政监督部门的处罚，自愿放弃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并愿意承担因我方就此弄虚作假所引起的一切法律后果。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 标 人(盖章)：</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法定代表人或委托代理人(签名或盖章)：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
        <w:rPr>
          <w:rFonts w:hint="eastAsia"/>
          <w:lang w:val="en-US" w:eastAsia="zh-CN"/>
        </w:rPr>
      </w:pPr>
    </w:p>
    <w:p>
      <w:pPr>
        <w:keepNext w:val="0"/>
        <w:keepLines w:val="0"/>
        <w:widowControl w:val="0"/>
        <w:suppressLineNumbers w:val="0"/>
        <w:autoSpaceDE w:val="0"/>
        <w:autoSpaceDN w:val="0"/>
        <w:spacing w:before="0" w:beforeAutospacing="0" w:after="0" w:afterAutospacing="0" w:line="460" w:lineRule="exact"/>
        <w:ind w:left="0" w:right="0"/>
        <w:jc w:val="left"/>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 xml:space="preserve">附件2 </w:t>
      </w:r>
    </w:p>
    <w:p>
      <w:pPr>
        <w:spacing w:line="490" w:lineRule="exact"/>
        <w:rPr>
          <w:rFonts w:hint="eastAsia" w:ascii="宋体" w:hAnsi="宋体"/>
          <w:sz w:val="24"/>
        </w:rPr>
      </w:pPr>
    </w:p>
    <w:bookmarkEnd w:id="0"/>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spacing w:val="45"/>
          <w:kern w:val="0"/>
          <w:sz w:val="44"/>
          <w:szCs w:val="44"/>
          <w:lang w:val="en-US" w:eastAsia="zh-CN" w:bidi="ar"/>
        </w:rPr>
      </w:pPr>
      <w:bookmarkStart w:id="1" w:name="_Toc74065963"/>
      <w:r>
        <w:rPr>
          <w:rFonts w:hint="eastAsia" w:ascii="方正小标宋_GBK" w:hAnsi="方正小标宋_GBK" w:eastAsia="方正小标宋_GBK" w:cs="方正小标宋_GBK"/>
          <w:b w:val="0"/>
          <w:bCs/>
          <w:spacing w:val="45"/>
          <w:kern w:val="0"/>
          <w:sz w:val="44"/>
          <w:szCs w:val="44"/>
          <w:lang w:val="en-US" w:eastAsia="zh-CN" w:bidi="ar"/>
        </w:rPr>
        <w:t>报价表</w:t>
      </w:r>
    </w:p>
    <w:p>
      <w:pPr>
        <w:tabs>
          <w:tab w:val="left" w:pos="5314"/>
        </w:tabs>
        <w:snapToGrid w:val="0"/>
        <w:spacing w:before="1"/>
        <w:ind w:firstLine="454"/>
        <w:textAlignment w:val="baseline"/>
        <w:rPr>
          <w:w w:val="95"/>
          <w:szCs w:val="24"/>
        </w:rPr>
      </w:pPr>
    </w:p>
    <w:p>
      <w:pPr>
        <w:pStyle w:val="8"/>
        <w:keepNext w:val="0"/>
        <w:keepLines w:val="0"/>
        <w:pageBreakBefore w:val="0"/>
        <w:widowControl/>
        <w:kinsoku/>
        <w:wordWrap/>
        <w:overflowPunct/>
        <w:topLinePunct w:val="0"/>
        <w:autoSpaceDE/>
        <w:autoSpaceDN/>
        <w:bidi w:val="0"/>
        <w:adjustRightInd w:val="0"/>
        <w:snapToGrid w:val="0"/>
        <w:spacing w:before="0" w:after="0" w:line="520" w:lineRule="exact"/>
        <w:ind w:firstLine="640" w:firstLineChars="200"/>
        <w:textAlignment w:val="auto"/>
        <w:rPr>
          <w:u w:val="single"/>
        </w:rPr>
      </w:pPr>
      <w:r>
        <w:rPr>
          <w:rFonts w:hint="eastAsia" w:ascii="仿宋_GB2312" w:hAnsi="仿宋_GB2312" w:eastAsia="仿宋_GB2312" w:cs="仿宋_GB2312"/>
          <w:bCs/>
          <w:kern w:val="2"/>
          <w:position w:val="6"/>
          <w:sz w:val="32"/>
          <w:szCs w:val="32"/>
        </w:rPr>
        <w:t>项目名称：</w:t>
      </w:r>
      <w:r>
        <w:rPr>
          <w:rFonts w:hint="eastAsia" w:ascii="仿宋_GB2312" w:hAnsi="仿宋_GB2312" w:eastAsia="仿宋_GB2312" w:cs="仿宋_GB2312"/>
          <w:bCs/>
          <w:kern w:val="2"/>
          <w:position w:val="6"/>
          <w:sz w:val="32"/>
          <w:szCs w:val="32"/>
          <w:lang w:val="en-US" w:eastAsia="zh-CN"/>
        </w:rPr>
        <w:t>税务</w:t>
      </w:r>
      <w:r>
        <w:rPr>
          <w:rFonts w:hint="eastAsia" w:ascii="仿宋_GB2312" w:hAnsi="仿宋_GB2312" w:eastAsia="仿宋_GB2312" w:cs="仿宋_GB2312"/>
          <w:bCs/>
          <w:kern w:val="2"/>
          <w:position w:val="6"/>
          <w:sz w:val="32"/>
          <w:szCs w:val="32"/>
        </w:rPr>
        <w:t>咨询服务单位</w:t>
      </w:r>
      <w:r>
        <w:rPr>
          <w:rFonts w:hint="eastAsia" w:cs="宋体"/>
          <w:bCs/>
          <w:kern w:val="2"/>
          <w:position w:val="6"/>
          <w:szCs w:val="24"/>
        </w:rPr>
        <w:tab/>
      </w:r>
    </w:p>
    <w:tbl>
      <w:tblPr>
        <w:tblStyle w:val="9"/>
        <w:tblW w:w="846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6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sz w:val="28"/>
                <w:szCs w:val="36"/>
              </w:rPr>
            </w:pPr>
            <w:r>
              <w:rPr>
                <w:rFonts w:hint="eastAsia"/>
                <w:sz w:val="28"/>
                <w:szCs w:val="36"/>
                <w:lang w:eastAsia="zh-CN"/>
              </w:rPr>
              <w:t>投标人</w:t>
            </w:r>
            <w:r>
              <w:rPr>
                <w:rFonts w:hint="eastAsia"/>
                <w:sz w:val="28"/>
                <w:szCs w:val="36"/>
              </w:rPr>
              <w:t>名称</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rPr>
                <w:sz w:val="28"/>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sz w:val="28"/>
                <w:szCs w:val="36"/>
              </w:rPr>
            </w:pPr>
            <w:r>
              <w:rPr>
                <w:rFonts w:hint="eastAsia"/>
                <w:sz w:val="28"/>
                <w:szCs w:val="36"/>
              </w:rPr>
              <w:t>项目负责人</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600" w:lineRule="atLeast"/>
              <w:ind w:firstLine="560" w:firstLineChars="200"/>
              <w:rPr>
                <w:sz w:val="28"/>
                <w:szCs w:val="36"/>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4"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28"/>
                <w:szCs w:val="36"/>
                <w:lang w:eastAsia="zh-CN"/>
              </w:rPr>
            </w:pPr>
            <w:r>
              <w:rPr>
                <w:rFonts w:hint="eastAsia"/>
                <w:sz w:val="28"/>
                <w:szCs w:val="36"/>
              </w:rPr>
              <w:t>报价</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eastAsia"/>
                <w:bCs/>
                <w:sz w:val="28"/>
                <w:szCs w:val="36"/>
                <w:u w:val="none"/>
                <w:lang w:val="en-US" w:eastAsia="zh-CN"/>
              </w:rPr>
            </w:pPr>
            <w:r>
              <w:rPr>
                <w:rFonts w:hint="eastAsia"/>
                <w:bCs/>
                <w:sz w:val="28"/>
                <w:szCs w:val="36"/>
                <w:u w:val="none"/>
                <w:lang w:val="en-US" w:eastAsia="zh-CN"/>
              </w:rPr>
              <w:t xml:space="preserve"> </w:t>
            </w:r>
            <w:r>
              <w:rPr>
                <w:rFonts w:hint="eastAsia"/>
                <w:bCs/>
                <w:sz w:val="28"/>
                <w:szCs w:val="36"/>
                <w:u w:val="single"/>
                <w:lang w:val="en-US" w:eastAsia="zh-CN"/>
              </w:rPr>
              <w:t xml:space="preserve">        </w:t>
            </w:r>
            <w:r>
              <w:rPr>
                <w:rFonts w:hint="eastAsia"/>
                <w:bCs/>
                <w:sz w:val="28"/>
                <w:szCs w:val="36"/>
                <w:u w:val="none"/>
                <w:lang w:val="en-US" w:eastAsia="zh-CN"/>
              </w:rPr>
              <w:t>万元（保留2位有效数字）</w:t>
            </w:r>
          </w:p>
          <w:p>
            <w:pPr>
              <w:spacing w:line="340" w:lineRule="exact"/>
              <w:ind w:firstLine="840" w:firstLineChars="300"/>
              <w:jc w:val="both"/>
              <w:rPr>
                <w:rFonts w:hint="default" w:eastAsia="宋体"/>
                <w:sz w:val="28"/>
                <w:szCs w:val="36"/>
                <w:highlight w:val="yellow"/>
                <w:lang w:val="en-US" w:eastAsia="zh-CN"/>
              </w:rPr>
            </w:pPr>
            <w:r>
              <w:rPr>
                <w:rFonts w:hint="eastAsia"/>
                <w:bCs/>
                <w:sz w:val="28"/>
                <w:szCs w:val="36"/>
                <w:u w:val="none"/>
                <w:lang w:val="en-US" w:eastAsia="zh-CN"/>
              </w:rPr>
              <w:t>大写：</w:t>
            </w:r>
            <w:r>
              <w:rPr>
                <w:rFonts w:hint="eastAsia"/>
                <w:bCs/>
                <w:sz w:val="28"/>
                <w:szCs w:val="36"/>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9" w:hRule="atLeast"/>
        </w:trPr>
        <w:tc>
          <w:tcPr>
            <w:tcW w:w="186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sz w:val="28"/>
                <w:szCs w:val="36"/>
                <w:lang w:val="en-US" w:eastAsia="zh-CN"/>
              </w:rPr>
            </w:pPr>
            <w:r>
              <w:rPr>
                <w:rFonts w:hint="eastAsia"/>
                <w:sz w:val="28"/>
                <w:szCs w:val="36"/>
                <w:lang w:val="en-US" w:eastAsia="zh-CN"/>
              </w:rPr>
              <w:t>服务期</w:t>
            </w:r>
          </w:p>
        </w:tc>
        <w:tc>
          <w:tcPr>
            <w:tcW w:w="65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sz w:val="28"/>
                <w:szCs w:val="36"/>
                <w:lang w:val="en-US" w:eastAsia="zh-CN"/>
              </w:rPr>
            </w:pPr>
            <w:r>
              <w:rPr>
                <w:rFonts w:hint="eastAsia"/>
                <w:sz w:val="28"/>
                <w:szCs w:val="36"/>
                <w:lang w:val="en-US" w:eastAsia="zh-CN"/>
              </w:rPr>
              <w:t>一年</w:t>
            </w:r>
          </w:p>
        </w:tc>
      </w:tr>
    </w:tbl>
    <w:p>
      <w:pPr>
        <w:rPr>
          <w:rFonts w:cs="Times New Roman"/>
          <w:kern w:val="2"/>
          <w:sz w:val="21"/>
          <w:szCs w:val="21"/>
          <w:u w:val="singl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lang w:val="en-US" w:eastAsia="zh-CN"/>
        </w:rPr>
      </w:pPr>
      <w:r>
        <w:rPr>
          <w:rFonts w:hint="eastAsia" w:ascii="仿宋_GB2312" w:hAnsi="黑体" w:eastAsia="仿宋_GB2312" w:cs="黑体"/>
          <w:color w:val="000000"/>
          <w:sz w:val="32"/>
          <w:szCs w:val="32"/>
        </w:rPr>
        <w:t>投 标 人：</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 xml:space="preserve">   </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（盖单位章）</w:t>
      </w:r>
      <w:r>
        <w:rPr>
          <w:rFonts w:hint="eastAsia" w:ascii="仿宋_GB2312" w:hAnsi="黑体" w:eastAsia="仿宋_GB2312" w:cs="黑体"/>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法定代表人或其委托代理人：</w:t>
      </w:r>
      <w:r>
        <w:rPr>
          <w:rFonts w:hint="eastAsia" w:ascii="仿宋_GB2312" w:hAnsi="黑体" w:eastAsia="仿宋_GB2312" w:cs="黑体"/>
          <w:color w:val="000000"/>
          <w:sz w:val="32"/>
          <w:szCs w:val="32"/>
          <w:lang w:val="en-US" w:eastAsia="zh-CN"/>
        </w:rPr>
        <w:t xml:space="preserve">    </w:t>
      </w:r>
      <w:r>
        <w:rPr>
          <w:rFonts w:hint="eastAsia" w:ascii="仿宋_GB2312" w:hAnsi="黑体" w:eastAsia="仿宋_GB2312" w:cs="黑体"/>
          <w:color w:val="000000"/>
          <w:sz w:val="32"/>
          <w:szCs w:val="32"/>
        </w:rPr>
        <w:t>（签字或盖章）</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仿宋_GB2312" w:hAnsi="黑体" w:eastAsia="仿宋_GB2312"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 xml:space="preserve">日期：  </w:t>
      </w:r>
      <w:r>
        <w:rPr>
          <w:rFonts w:hint="eastAsia" w:ascii="仿宋_GB2312" w:hAnsi="黑体" w:eastAsia="仿宋_GB2312" w:cs="黑体"/>
          <w:color w:val="000000"/>
          <w:sz w:val="32"/>
          <w:szCs w:val="32"/>
        </w:rPr>
        <w:t>年    月    日</w:t>
      </w:r>
    </w:p>
    <w:p>
      <w:pPr>
        <w:pStyle w:val="1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rPr>
        <w:t>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黑体" w:eastAsia="仿宋_GB2312" w:cs="黑体"/>
          <w:color w:val="000000"/>
          <w:sz w:val="32"/>
          <w:szCs w:val="32"/>
        </w:rPr>
      </w:pPr>
      <w:r>
        <w:rPr>
          <w:rFonts w:hint="eastAsia" w:ascii="仿宋_GB2312" w:hAnsi="黑体" w:eastAsia="仿宋_GB2312" w:cs="黑体"/>
          <w:color w:val="000000"/>
          <w:sz w:val="32"/>
          <w:szCs w:val="32"/>
          <w:lang w:val="en-US" w:eastAsia="zh-CN"/>
        </w:rPr>
        <w:t>本表填制原件一式两份，两份必须完全一致。其中一份装订于投标文件正本内；另一份单独密封于小信封，信封上标明“报价表”字样，</w:t>
      </w:r>
      <w:r>
        <w:rPr>
          <w:rFonts w:hint="eastAsia" w:ascii="仿宋_GB2312" w:hAnsi="黑体" w:eastAsia="仿宋_GB2312" w:cs="黑体"/>
          <w:color w:val="000000"/>
          <w:sz w:val="32"/>
          <w:szCs w:val="32"/>
        </w:rPr>
        <w:t>在投标截止时间前</w:t>
      </w:r>
      <w:r>
        <w:rPr>
          <w:rFonts w:hint="eastAsia" w:ascii="仿宋_GB2312" w:hAnsi="黑体" w:eastAsia="仿宋_GB2312" w:cs="黑体"/>
          <w:color w:val="000000"/>
          <w:sz w:val="32"/>
          <w:szCs w:val="32"/>
          <w:lang w:val="en-US" w:eastAsia="zh-CN"/>
        </w:rPr>
        <w:t>提交给招标人</w:t>
      </w:r>
      <w:r>
        <w:rPr>
          <w:rFonts w:hint="eastAsia" w:ascii="仿宋_GB2312" w:hAnsi="黑体" w:eastAsia="仿宋_GB2312" w:cs="黑体"/>
          <w:color w:val="000000"/>
          <w:sz w:val="32"/>
          <w:szCs w:val="32"/>
        </w:rPr>
        <w:t>。</w:t>
      </w:r>
    </w:p>
    <w:p>
      <w:pPr>
        <w:keepNext w:val="0"/>
        <w:keepLines w:val="0"/>
        <w:widowControl w:val="0"/>
        <w:suppressLineNumbers w:val="0"/>
        <w:autoSpaceDE w:val="0"/>
        <w:autoSpaceDN w:val="0"/>
        <w:spacing w:before="0" w:beforeAutospacing="0" w:after="0" w:afterAutospacing="0" w:line="460" w:lineRule="exact"/>
        <w:ind w:left="0" w:right="0"/>
        <w:jc w:val="left"/>
        <w:rPr>
          <w:rFonts w:hint="eastAsia" w:ascii="方正小标宋_GBK" w:hAnsi="方正小标宋_GBK" w:eastAsia="方正小标宋_GBK" w:cs="方正小标宋_GBK"/>
          <w:b w:val="0"/>
          <w:bCs/>
          <w:kern w:val="0"/>
          <w:sz w:val="32"/>
          <w:szCs w:val="32"/>
          <w:lang w:val="en-US" w:eastAsia="zh-CN" w:bidi="ar"/>
        </w:rPr>
      </w:pPr>
      <w:r>
        <w:rPr>
          <w:rFonts w:hint="eastAsia" w:ascii="宋体" w:hAnsi="宋体"/>
          <w:b/>
          <w:sz w:val="32"/>
          <w:szCs w:val="21"/>
        </w:rPr>
        <w:br w:type="page"/>
      </w:r>
      <w:r>
        <w:rPr>
          <w:rFonts w:hint="eastAsia" w:ascii="方正小标宋_GBK" w:hAnsi="方正小标宋_GBK" w:eastAsia="方正小标宋_GBK" w:cs="方正小标宋_GBK"/>
          <w:b w:val="0"/>
          <w:bCs/>
          <w:kern w:val="0"/>
          <w:sz w:val="32"/>
          <w:szCs w:val="32"/>
          <w:lang w:val="en-US" w:eastAsia="zh-CN" w:bidi="ar"/>
        </w:rPr>
        <w:t>附件3</w:t>
      </w:r>
    </w:p>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r>
        <w:rPr>
          <w:rFonts w:hint="eastAsia" w:ascii="方正小标宋_GBK" w:hAnsi="方正小标宋_GBK" w:eastAsia="方正小标宋_GBK" w:cs="方正小标宋_GBK"/>
          <w:b w:val="0"/>
          <w:bCs/>
          <w:kern w:val="0"/>
          <w:sz w:val="32"/>
          <w:szCs w:val="32"/>
          <w:lang w:val="en-US" w:eastAsia="zh-CN" w:bidi="ar"/>
        </w:rPr>
        <w:t>评分细则</w:t>
      </w:r>
    </w:p>
    <w:tbl>
      <w:tblPr>
        <w:tblStyle w:val="9"/>
        <w:tblpPr w:leftFromText="180" w:rightFromText="180" w:vertAnchor="text" w:horzAnchor="page" w:tblpX="818" w:tblpY="388"/>
        <w:tblOverlap w:val="never"/>
        <w:tblW w:w="103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315"/>
        <w:gridCol w:w="939"/>
        <w:gridCol w:w="6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trPr>
        <w:tc>
          <w:tcPr>
            <w:tcW w:w="1207" w:type="dxa"/>
            <w:noWrap w:val="0"/>
            <w:vAlign w:val="center"/>
          </w:tcPr>
          <w:p>
            <w:pPr>
              <w:spacing w:line="360" w:lineRule="auto"/>
              <w:jc w:val="center"/>
              <w:rPr>
                <w:rFonts w:ascii="宋体" w:hAnsi="宋体" w:cs="宋体"/>
                <w:b/>
                <w:color w:val="auto"/>
                <w:sz w:val="24"/>
                <w:szCs w:val="24"/>
                <w:highlight w:val="none"/>
              </w:rPr>
            </w:pPr>
            <w:r>
              <w:rPr>
                <w:rFonts w:hint="eastAsia" w:ascii="宋体" w:hAnsi="宋体" w:cs="宋体"/>
                <w:b/>
                <w:color w:val="auto"/>
                <w:sz w:val="24"/>
                <w:szCs w:val="24"/>
                <w:highlight w:val="none"/>
              </w:rPr>
              <w:t>评审项目</w:t>
            </w:r>
          </w:p>
        </w:tc>
        <w:tc>
          <w:tcPr>
            <w:tcW w:w="1315"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评审分项</w:t>
            </w:r>
          </w:p>
        </w:tc>
        <w:tc>
          <w:tcPr>
            <w:tcW w:w="939"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分值（分）</w:t>
            </w:r>
          </w:p>
        </w:tc>
        <w:tc>
          <w:tcPr>
            <w:tcW w:w="6929" w:type="dxa"/>
            <w:noWrap w:val="0"/>
            <w:vAlign w:val="center"/>
          </w:tcPr>
          <w:p>
            <w:pPr>
              <w:spacing w:line="360" w:lineRule="auto"/>
              <w:jc w:val="center"/>
              <w:rPr>
                <w:rFonts w:ascii="宋体" w:hAnsi="宋体" w:cs="宋体"/>
                <w:color w:val="auto"/>
                <w:sz w:val="24"/>
                <w:szCs w:val="24"/>
                <w:highlight w:val="none"/>
              </w:rPr>
            </w:pPr>
            <w:r>
              <w:rPr>
                <w:rFonts w:hint="eastAsia" w:ascii="宋体" w:hAnsi="宋体" w:cs="宋体"/>
                <w:b/>
                <w:color w:val="auto"/>
                <w:sz w:val="24"/>
                <w:szCs w:val="24"/>
                <w:highlight w:val="none"/>
              </w:rPr>
              <w:t>评分细标准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5" w:hRule="atLeast"/>
        </w:trPr>
        <w:tc>
          <w:tcPr>
            <w:tcW w:w="1207" w:type="dxa"/>
            <w:noWrap w:val="0"/>
            <w:vAlign w:val="center"/>
          </w:tcPr>
          <w:p>
            <w:pPr>
              <w:adjustRightInd w:val="0"/>
              <w:snapToGrid w:val="0"/>
              <w:jc w:val="center"/>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sz w:val="24"/>
                <w:szCs w:val="24"/>
                <w:highlight w:val="none"/>
              </w:rPr>
              <w:t>价格部分(</w:t>
            </w:r>
            <w:r>
              <w:rPr>
                <w:rFonts w:hint="eastAsia" w:ascii="宋体" w:hAnsi="宋体" w:cs="宋体"/>
                <w:color w:val="auto"/>
                <w:spacing w:val="-8"/>
                <w:sz w:val="24"/>
                <w:szCs w:val="24"/>
                <w:highlight w:val="none"/>
                <w:lang w:val="en-US" w:eastAsia="zh-CN"/>
              </w:rPr>
              <w:t>30</w:t>
            </w:r>
            <w:r>
              <w:rPr>
                <w:rFonts w:hint="eastAsia" w:ascii="宋体" w:hAnsi="宋体" w:eastAsia="宋体" w:cs="宋体"/>
                <w:color w:val="auto"/>
                <w:spacing w:val="-8"/>
                <w:sz w:val="24"/>
                <w:szCs w:val="24"/>
                <w:highlight w:val="none"/>
              </w:rPr>
              <w:t>分)</w:t>
            </w:r>
          </w:p>
        </w:tc>
        <w:tc>
          <w:tcPr>
            <w:tcW w:w="1315" w:type="dxa"/>
            <w:noWrap w:val="0"/>
            <w:vAlign w:val="center"/>
          </w:tcPr>
          <w:p>
            <w:pPr>
              <w:adjustRightInd w:val="0"/>
              <w:snapToGrid w:val="0"/>
              <w:jc w:val="center"/>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sz w:val="24"/>
                <w:szCs w:val="24"/>
                <w:highlight w:val="none"/>
              </w:rPr>
              <w:t>报价得分</w:t>
            </w:r>
          </w:p>
        </w:tc>
        <w:tc>
          <w:tcPr>
            <w:tcW w:w="939" w:type="dxa"/>
            <w:noWrap w:val="0"/>
            <w:vAlign w:val="center"/>
          </w:tcPr>
          <w:p>
            <w:pPr>
              <w:adjustRightInd w:val="0"/>
              <w:snapToGrid w:val="0"/>
              <w:jc w:val="center"/>
              <w:rPr>
                <w:rFonts w:hint="default"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30</w:t>
            </w:r>
          </w:p>
        </w:tc>
        <w:tc>
          <w:tcPr>
            <w:tcW w:w="6929" w:type="dxa"/>
            <w:noWrap w:val="0"/>
            <w:vAlign w:val="center"/>
          </w:tcPr>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评标基准价的确定：评标价为各有效投标报价的平均值，若有效报价超过5个的，去掉一个最高价和最低价</w:t>
            </w:r>
            <w:r>
              <w:rPr>
                <w:rFonts w:hint="eastAsia" w:ascii="仿宋" w:hAnsi="仿宋"/>
                <w:sz w:val="24"/>
                <w:lang w:eastAsia="zh-CN"/>
              </w:rPr>
              <w:t>后的算术平均值</w:t>
            </w:r>
            <w:r>
              <w:rPr>
                <w:rFonts w:hint="eastAsia" w:ascii="宋体" w:hAnsi="宋体" w:eastAsia="宋体" w:cs="宋体"/>
                <w:color w:val="auto"/>
                <w:spacing w:val="-8"/>
                <w:kern w:val="2"/>
                <w:sz w:val="24"/>
                <w:szCs w:val="24"/>
                <w:highlight w:val="none"/>
                <w:lang w:val="en-US" w:eastAsia="zh-CN" w:bidi="ar-SA"/>
              </w:rPr>
              <w:t xml:space="preserve">。 </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得分评定标准：以评标基准价为</w:t>
            </w:r>
            <w:r>
              <w:rPr>
                <w:rFonts w:hint="eastAsia" w:ascii="仿宋" w:hAnsi="仿宋"/>
                <w:sz w:val="24"/>
                <w:highlight w:val="none"/>
                <w:lang w:eastAsia="zh-CN"/>
              </w:rPr>
              <w:t>基准</w:t>
            </w:r>
            <w:r>
              <w:rPr>
                <w:rFonts w:hint="eastAsia" w:ascii="宋体" w:hAnsi="宋体" w:eastAsia="宋体" w:cs="宋体"/>
                <w:color w:val="auto"/>
                <w:spacing w:val="-8"/>
                <w:kern w:val="2"/>
                <w:sz w:val="24"/>
                <w:szCs w:val="24"/>
                <w:highlight w:val="none"/>
                <w:lang w:val="en-US" w:eastAsia="zh-CN" w:bidi="ar-SA"/>
              </w:rPr>
              <w:t>，投标人投标报价每高于评标基准价 1%扣0.6 分，扣完为止， 该项记分公式为：K=40—[（q-Q）/Q]×100×0.6；投标人投标报价每低于评标基准价 1%扣0.3分，扣完为止， 该项记分公式为：K=10—[（Q-q）/Q]×100×0.3。</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以上式中：q--投标报价， Q--评标基准价。</w:t>
            </w:r>
          </w:p>
          <w:p>
            <w:pPr>
              <w:adjustRightInd w:val="0"/>
              <w:snapToGrid w:val="0"/>
              <w:jc w:val="left"/>
              <w:rPr>
                <w:rFonts w:hint="eastAsia" w:ascii="宋体" w:hAnsi="宋体" w:eastAsia="宋体" w:cs="宋体"/>
                <w:color w:val="auto"/>
                <w:spacing w:val="-8"/>
                <w:kern w:val="2"/>
                <w:sz w:val="24"/>
                <w:szCs w:val="24"/>
                <w:highlight w:val="none"/>
                <w:lang w:val="en-US" w:eastAsia="zh-CN" w:bidi="ar-SA"/>
              </w:rPr>
            </w:pPr>
            <w:r>
              <w:rPr>
                <w:rFonts w:hint="eastAsia" w:ascii="宋体" w:hAnsi="宋体" w:eastAsia="宋体" w:cs="宋体"/>
                <w:color w:val="auto"/>
                <w:spacing w:val="-8"/>
                <w:kern w:val="2"/>
                <w:sz w:val="24"/>
                <w:szCs w:val="24"/>
                <w:highlight w:val="none"/>
                <w:lang w:val="en-US" w:eastAsia="zh-CN" w:bidi="ar-SA"/>
              </w:rPr>
              <w:t>上述有效投标价在加、扣分计算百分点时，按四舍五入的办法精确到小数点后 2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 w:hRule="atLeast"/>
        </w:trPr>
        <w:tc>
          <w:tcPr>
            <w:tcW w:w="1207" w:type="dxa"/>
            <w:vMerge w:val="restart"/>
            <w:noWrap w:val="0"/>
            <w:vAlign w:val="center"/>
          </w:tcPr>
          <w:p>
            <w:pPr>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商务部分</w:t>
            </w:r>
            <w:r>
              <w:rPr>
                <w:rFonts w:hint="eastAsia" w:ascii="宋体" w:hAnsi="宋体" w:eastAsia="宋体" w:cs="宋体"/>
                <w:color w:val="auto"/>
                <w:kern w:val="0"/>
                <w:sz w:val="24"/>
                <w:szCs w:val="24"/>
                <w:highlight w:val="none"/>
              </w:rPr>
              <w:t>（</w:t>
            </w:r>
            <w:r>
              <w:rPr>
                <w:rFonts w:hint="eastAsia" w:ascii="宋体" w:hAnsi="宋体" w:cs="宋体"/>
                <w:color w:val="auto"/>
                <w:kern w:val="0"/>
                <w:sz w:val="24"/>
                <w:szCs w:val="24"/>
                <w:highlight w:val="none"/>
                <w:lang w:val="en-US" w:eastAsia="zh-CN"/>
              </w:rPr>
              <w:t>30</w:t>
            </w:r>
            <w:r>
              <w:rPr>
                <w:rFonts w:hint="eastAsia" w:ascii="宋体" w:hAnsi="宋体" w:eastAsia="宋体" w:cs="宋体"/>
                <w:color w:val="auto"/>
                <w:kern w:val="0"/>
                <w:sz w:val="24"/>
                <w:szCs w:val="24"/>
                <w:highlight w:val="none"/>
              </w:rPr>
              <w:t>分）</w:t>
            </w:r>
          </w:p>
        </w:tc>
        <w:tc>
          <w:tcPr>
            <w:tcW w:w="1315"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综合实力</w:t>
            </w:r>
          </w:p>
        </w:tc>
        <w:tc>
          <w:tcPr>
            <w:tcW w:w="939"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16</w:t>
            </w:r>
          </w:p>
        </w:tc>
        <w:tc>
          <w:tcPr>
            <w:tcW w:w="6929" w:type="dxa"/>
            <w:noWrap w:val="0"/>
            <w:vAlign w:val="center"/>
          </w:tcPr>
          <w:p>
            <w:pPr>
              <w:adjustRightInd w:val="0"/>
              <w:snapToGrid w:val="0"/>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1.规模能力，投标人拥有执业注册税务师数量20名以上的，得8分；15名以上的，得5分；10名以上的得2分；10名以下的，不得分。（须提供注册税务师证书复印件加盖公章）。</w:t>
            </w:r>
          </w:p>
          <w:p>
            <w:pPr>
              <w:adjustRightInd w:val="0"/>
              <w:snapToGrid w:val="0"/>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2.持续经营时间，20年以上，得8分；15年以上，得5分；10年以上，得2分，低于10年，不得分。（以营业执照上成立时间为准）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6" w:hRule="atLeast"/>
        </w:trPr>
        <w:tc>
          <w:tcPr>
            <w:tcW w:w="1207" w:type="dxa"/>
            <w:vMerge w:val="continue"/>
            <w:noWrap w:val="0"/>
            <w:vAlign w:val="center"/>
          </w:tcPr>
          <w:p>
            <w:pPr>
              <w:spacing w:line="360" w:lineRule="auto"/>
              <w:jc w:val="center"/>
              <w:rPr>
                <w:rFonts w:hint="eastAsia" w:ascii="宋体" w:hAnsi="宋体" w:eastAsia="宋体" w:cs="宋体"/>
                <w:color w:val="auto"/>
                <w:kern w:val="0"/>
                <w:sz w:val="24"/>
                <w:szCs w:val="24"/>
                <w:highlight w:val="none"/>
              </w:rPr>
            </w:pPr>
          </w:p>
        </w:tc>
        <w:tc>
          <w:tcPr>
            <w:tcW w:w="1315" w:type="dxa"/>
            <w:noWrap w:val="0"/>
            <w:vAlign w:val="center"/>
          </w:tcPr>
          <w:p>
            <w:pPr>
              <w:adjustRightInd w:val="0"/>
              <w:snapToGrid w:val="0"/>
              <w:jc w:val="center"/>
              <w:rPr>
                <w:rFonts w:hint="eastAsia" w:ascii="宋体" w:hAnsi="宋体" w:eastAsia="宋体" w:cs="宋体"/>
                <w:color w:val="auto"/>
                <w:spacing w:val="-8"/>
                <w:sz w:val="24"/>
                <w:szCs w:val="24"/>
                <w:highlight w:val="none"/>
                <w:lang w:eastAsia="zh-CN"/>
              </w:rPr>
            </w:pPr>
            <w:r>
              <w:rPr>
                <w:rFonts w:hint="eastAsia" w:ascii="宋体" w:hAnsi="宋体" w:eastAsia="宋体" w:cs="宋体"/>
                <w:color w:val="auto"/>
                <w:spacing w:val="-8"/>
                <w:sz w:val="24"/>
                <w:szCs w:val="24"/>
                <w:highlight w:val="none"/>
                <w:lang w:val="en-US" w:eastAsia="zh-CN"/>
              </w:rPr>
              <w:t>业绩</w:t>
            </w:r>
          </w:p>
        </w:tc>
        <w:tc>
          <w:tcPr>
            <w:tcW w:w="939" w:type="dxa"/>
            <w:noWrap w:val="0"/>
            <w:vAlign w:val="center"/>
          </w:tcPr>
          <w:p>
            <w:pPr>
              <w:adjustRightInd w:val="0"/>
              <w:snapToGrid w:val="0"/>
              <w:jc w:val="center"/>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rPr>
              <w:t>1</w:t>
            </w:r>
            <w:r>
              <w:rPr>
                <w:rFonts w:hint="eastAsia" w:ascii="宋体" w:hAnsi="宋体" w:eastAsia="宋体" w:cs="宋体"/>
                <w:color w:val="auto"/>
                <w:spacing w:val="-8"/>
                <w:sz w:val="24"/>
                <w:szCs w:val="24"/>
                <w:highlight w:val="none"/>
                <w:lang w:val="en-US" w:eastAsia="zh-CN"/>
              </w:rPr>
              <w:t>4</w:t>
            </w:r>
          </w:p>
        </w:tc>
        <w:tc>
          <w:tcPr>
            <w:tcW w:w="6929" w:type="dxa"/>
            <w:noWrap w:val="0"/>
            <w:vAlign w:val="center"/>
          </w:tcPr>
          <w:p>
            <w:pPr>
              <w:adjustRightInd w:val="0"/>
              <w:snapToGrid w:val="0"/>
              <w:rPr>
                <w:rFonts w:hint="default" w:eastAsia="宋体"/>
                <w:lang w:val="en-US" w:eastAsia="zh-CN"/>
              </w:rPr>
            </w:pPr>
            <w:r>
              <w:rPr>
                <w:rFonts w:hint="eastAsia" w:ascii="宋体" w:hAnsi="宋体" w:eastAsia="宋体" w:cs="宋体"/>
                <w:color w:val="auto"/>
                <w:spacing w:val="-8"/>
                <w:sz w:val="24"/>
                <w:szCs w:val="24"/>
                <w:highlight w:val="none"/>
                <w:lang w:val="en-US" w:eastAsia="zh-CN"/>
              </w:rPr>
              <w:t>2021年1月1日以来承担过企事业单位税务咨询、顾问、代理等服务，每承担1项，得2分，本项最高得14分。（须提供合同复印件并加盖公章）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9" w:hRule="atLeast"/>
        </w:trPr>
        <w:tc>
          <w:tcPr>
            <w:tcW w:w="1207" w:type="dxa"/>
            <w:vMerge w:val="restart"/>
            <w:noWrap w:val="0"/>
            <w:vAlign w:val="center"/>
          </w:tcPr>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rPr>
              <w:t>服务要求</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40</w:t>
            </w:r>
            <w:r>
              <w:rPr>
                <w:rFonts w:hint="eastAsia" w:ascii="宋体" w:hAnsi="宋体" w:eastAsia="宋体" w:cs="宋体"/>
                <w:color w:val="auto"/>
                <w:kern w:val="0"/>
                <w:sz w:val="24"/>
                <w:szCs w:val="24"/>
                <w:highlight w:val="none"/>
              </w:rPr>
              <w:t>分)</w:t>
            </w:r>
          </w:p>
        </w:tc>
        <w:tc>
          <w:tcPr>
            <w:tcW w:w="1315"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顶层设计框架及要点分析</w:t>
            </w:r>
          </w:p>
        </w:tc>
        <w:tc>
          <w:tcPr>
            <w:tcW w:w="939" w:type="dxa"/>
            <w:noWrap w:val="0"/>
            <w:vAlign w:val="center"/>
          </w:tcPr>
          <w:p>
            <w:pPr>
              <w:adjustRightInd w:val="0"/>
              <w:snapToGrid w:val="0"/>
              <w:jc w:val="center"/>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20</w:t>
            </w:r>
          </w:p>
        </w:tc>
        <w:tc>
          <w:tcPr>
            <w:tcW w:w="6929" w:type="dxa"/>
            <w:noWrap w:val="0"/>
            <w:vAlign w:val="center"/>
          </w:tcPr>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default" w:ascii="宋体" w:hAnsi="宋体" w:eastAsia="宋体" w:cs="宋体"/>
                <w:color w:val="auto"/>
                <w:spacing w:val="-8"/>
                <w:sz w:val="24"/>
                <w:szCs w:val="24"/>
                <w:highlight w:val="none"/>
                <w:lang w:val="en-US" w:eastAsia="zh-CN"/>
              </w:rPr>
              <w:t>投标人对</w:t>
            </w:r>
            <w:r>
              <w:rPr>
                <w:rFonts w:hint="eastAsia" w:ascii="宋体" w:hAnsi="宋体" w:eastAsia="宋体" w:cs="宋体"/>
                <w:color w:val="auto"/>
                <w:spacing w:val="-8"/>
                <w:sz w:val="24"/>
                <w:szCs w:val="24"/>
                <w:highlight w:val="none"/>
                <w:lang w:val="en-US" w:eastAsia="zh-CN"/>
              </w:rPr>
              <w:t>根据招标人行业性质提出初步的税务顶层设计框架，并对要点进行分析</w:t>
            </w:r>
            <w:r>
              <w:rPr>
                <w:rFonts w:hint="eastAsia" w:ascii="宋体" w:hAnsi="宋体" w:cs="宋体"/>
                <w:color w:val="auto"/>
                <w:spacing w:val="-8"/>
                <w:sz w:val="24"/>
                <w:szCs w:val="24"/>
                <w:highlight w:val="none"/>
                <w:lang w:val="en-US" w:eastAsia="zh-CN"/>
              </w:rPr>
              <w:t>；</w:t>
            </w:r>
            <w:r>
              <w:rPr>
                <w:rFonts w:hint="default" w:ascii="宋体" w:hAnsi="宋体" w:eastAsia="宋体" w:cs="宋体"/>
                <w:color w:val="auto"/>
                <w:spacing w:val="-8"/>
                <w:sz w:val="24"/>
                <w:szCs w:val="24"/>
                <w:highlight w:val="none"/>
                <w:lang w:val="en-US" w:eastAsia="zh-CN"/>
              </w:rPr>
              <w:t xml:space="preserve">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设计合理、分析妥当的</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15</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20</w:t>
            </w:r>
            <w:r>
              <w:rPr>
                <w:rFonts w:hint="default" w:ascii="宋体" w:hAnsi="宋体" w:eastAsia="宋体" w:cs="宋体"/>
                <w:color w:val="auto"/>
                <w:spacing w:val="-8"/>
                <w:sz w:val="24"/>
                <w:szCs w:val="24"/>
                <w:highlight w:val="none"/>
                <w:lang w:val="en-US" w:eastAsia="zh-CN"/>
              </w:rPr>
              <w:t xml:space="preserve">分；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设计、分析</w:t>
            </w:r>
            <w:r>
              <w:rPr>
                <w:rFonts w:hint="default" w:ascii="宋体" w:hAnsi="宋体" w:eastAsia="宋体" w:cs="宋体"/>
                <w:color w:val="auto"/>
                <w:spacing w:val="-8"/>
                <w:sz w:val="24"/>
                <w:szCs w:val="24"/>
                <w:highlight w:val="none"/>
                <w:lang w:val="en-US" w:eastAsia="zh-CN"/>
              </w:rPr>
              <w:t>较为</w:t>
            </w:r>
            <w:r>
              <w:rPr>
                <w:rFonts w:hint="eastAsia" w:ascii="宋体" w:hAnsi="宋体" w:eastAsia="宋体" w:cs="宋体"/>
                <w:color w:val="auto"/>
                <w:spacing w:val="-8"/>
                <w:sz w:val="24"/>
                <w:szCs w:val="24"/>
                <w:highlight w:val="none"/>
                <w:lang w:val="en-US" w:eastAsia="zh-CN"/>
              </w:rPr>
              <w:t>合理的</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8</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15</w:t>
            </w:r>
            <w:r>
              <w:rPr>
                <w:rFonts w:hint="default" w:ascii="宋体" w:hAnsi="宋体" w:eastAsia="宋体" w:cs="宋体"/>
                <w:color w:val="auto"/>
                <w:spacing w:val="-8"/>
                <w:sz w:val="24"/>
                <w:szCs w:val="24"/>
                <w:highlight w:val="none"/>
                <w:lang w:val="en-US" w:eastAsia="zh-CN"/>
              </w:rPr>
              <w:t xml:space="preserve">分； </w:t>
            </w:r>
          </w:p>
          <w:p>
            <w:pPr>
              <w:tabs>
                <w:tab w:val="left" w:pos="4944"/>
              </w:tabs>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设计、分析一般的，</w:t>
            </w:r>
            <w:r>
              <w:rPr>
                <w:rFonts w:hint="default" w:ascii="宋体" w:hAnsi="宋体" w:eastAsia="宋体" w:cs="宋体"/>
                <w:color w:val="auto"/>
                <w:spacing w:val="-8"/>
                <w:sz w:val="24"/>
                <w:szCs w:val="24"/>
                <w:highlight w:val="none"/>
                <w:lang w:val="en-US" w:eastAsia="zh-CN"/>
              </w:rPr>
              <w:t>得</w:t>
            </w:r>
            <w:r>
              <w:rPr>
                <w:rFonts w:hint="eastAsia" w:ascii="宋体" w:hAnsi="宋体" w:eastAsia="宋体" w:cs="宋体"/>
                <w:color w:val="auto"/>
                <w:spacing w:val="-8"/>
                <w:sz w:val="24"/>
                <w:szCs w:val="24"/>
                <w:highlight w:val="none"/>
                <w:lang w:val="en-US" w:eastAsia="zh-CN"/>
              </w:rPr>
              <w:t>0</w:t>
            </w:r>
            <w:r>
              <w:rPr>
                <w:rFonts w:hint="default" w:ascii="宋体" w:hAnsi="宋体" w:eastAsia="宋体" w:cs="宋体"/>
                <w:color w:val="auto"/>
                <w:spacing w:val="-8"/>
                <w:sz w:val="24"/>
                <w:szCs w:val="24"/>
                <w:highlight w:val="none"/>
                <w:lang w:val="en-US" w:eastAsia="zh-CN"/>
              </w:rPr>
              <w:t>-</w:t>
            </w:r>
            <w:r>
              <w:rPr>
                <w:rFonts w:hint="eastAsia" w:ascii="宋体" w:hAnsi="宋体" w:eastAsia="宋体" w:cs="宋体"/>
                <w:color w:val="auto"/>
                <w:spacing w:val="-8"/>
                <w:sz w:val="24"/>
                <w:szCs w:val="24"/>
                <w:highlight w:val="none"/>
                <w:lang w:val="en-US" w:eastAsia="zh-CN"/>
              </w:rPr>
              <w:t>8</w:t>
            </w:r>
            <w:r>
              <w:rPr>
                <w:rFonts w:hint="default" w:ascii="宋体" w:hAnsi="宋体" w:eastAsia="宋体" w:cs="宋体"/>
                <w:color w:val="auto"/>
                <w:spacing w:val="-8"/>
                <w:sz w:val="24"/>
                <w:szCs w:val="24"/>
                <w:highlight w:val="none"/>
                <w:lang w:val="en-US" w:eastAsia="zh-CN"/>
              </w:rPr>
              <w:t>分</w:t>
            </w:r>
            <w:r>
              <w:rPr>
                <w:rFonts w:hint="eastAsia" w:ascii="宋体" w:hAnsi="宋体" w:cs="宋体"/>
                <w:color w:val="auto"/>
                <w:spacing w:val="-8"/>
                <w:sz w:val="24"/>
                <w:szCs w:val="24"/>
                <w:highlight w:val="none"/>
                <w:lang w:val="en-US" w:eastAsia="zh-CN"/>
              </w:rPr>
              <w:t>。</w:t>
            </w:r>
            <w:r>
              <w:rPr>
                <w:rFonts w:hint="default" w:ascii="宋体" w:hAnsi="宋体" w:eastAsia="宋体" w:cs="宋体"/>
                <w:color w:val="auto"/>
                <w:spacing w:val="-8"/>
                <w:sz w:val="24"/>
                <w:szCs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6" w:hRule="atLeast"/>
        </w:trPr>
        <w:tc>
          <w:tcPr>
            <w:tcW w:w="1207" w:type="dxa"/>
            <w:vMerge w:val="continue"/>
            <w:noWrap w:val="0"/>
            <w:vAlign w:val="center"/>
          </w:tcPr>
          <w:p>
            <w:pPr>
              <w:spacing w:line="360" w:lineRule="auto"/>
              <w:rPr>
                <w:rFonts w:hint="eastAsia" w:ascii="宋体" w:hAnsi="宋体" w:eastAsia="宋体" w:cs="宋体"/>
                <w:color w:val="auto"/>
                <w:kern w:val="0"/>
                <w:sz w:val="24"/>
                <w:szCs w:val="24"/>
                <w:highlight w:val="none"/>
                <w:lang w:val="en-US" w:eastAsia="zh-CN"/>
              </w:rPr>
            </w:pPr>
          </w:p>
        </w:tc>
        <w:tc>
          <w:tcPr>
            <w:tcW w:w="1315"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服务质量和效率</w:t>
            </w:r>
          </w:p>
        </w:tc>
        <w:tc>
          <w:tcPr>
            <w:tcW w:w="939" w:type="dxa"/>
            <w:noWrap w:val="0"/>
            <w:vAlign w:val="center"/>
          </w:tcPr>
          <w:p>
            <w:pPr>
              <w:adjustRightInd w:val="0"/>
              <w:snapToGrid w:val="0"/>
              <w:jc w:val="center"/>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20</w:t>
            </w:r>
          </w:p>
        </w:tc>
        <w:tc>
          <w:tcPr>
            <w:tcW w:w="6929" w:type="dxa"/>
            <w:noWrap w:val="0"/>
            <w:vAlign w:val="center"/>
          </w:tcPr>
          <w:p>
            <w:pPr>
              <w:adjustRightInd w:val="0"/>
              <w:snapToGrid w:val="0"/>
              <w:jc w:val="left"/>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根据招标人实际情况，制定保障服务质量和效率的具体举措、服务方案和服务承诺，</w:t>
            </w:r>
          </w:p>
          <w:p>
            <w:pPr>
              <w:adjustRightInd w:val="0"/>
              <w:snapToGrid w:val="0"/>
              <w:jc w:val="left"/>
              <w:rPr>
                <w:rFonts w:hint="default"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切实可行、能充分保障服务质量和效率的，得13-20分；</w:t>
            </w:r>
          </w:p>
          <w:p>
            <w:pPr>
              <w:adjustRightInd w:val="0"/>
              <w:snapToGrid w:val="0"/>
              <w:jc w:val="left"/>
              <w:rPr>
                <w:rFonts w:hint="eastAsia" w:ascii="宋体" w:hAnsi="宋体" w:eastAsia="宋体" w:cs="宋体"/>
                <w:color w:val="auto"/>
                <w:spacing w:val="-8"/>
                <w:sz w:val="24"/>
                <w:szCs w:val="24"/>
                <w:highlight w:val="none"/>
                <w:lang w:val="en-US" w:eastAsia="zh-CN"/>
              </w:rPr>
            </w:pPr>
            <w:r>
              <w:rPr>
                <w:rFonts w:hint="eastAsia" w:ascii="宋体" w:hAnsi="宋体" w:eastAsia="宋体" w:cs="宋体"/>
                <w:color w:val="auto"/>
                <w:spacing w:val="-8"/>
                <w:sz w:val="24"/>
                <w:szCs w:val="24"/>
                <w:highlight w:val="none"/>
                <w:lang w:val="en-US" w:eastAsia="zh-CN"/>
              </w:rPr>
              <w:t>较好保障服务质量和效率的，得7-13分；</w:t>
            </w:r>
          </w:p>
          <w:p>
            <w:pPr>
              <w:adjustRightInd w:val="0"/>
              <w:snapToGrid w:val="0"/>
              <w:jc w:val="left"/>
              <w:rPr>
                <w:rFonts w:hint="default"/>
                <w:lang w:val="en-US" w:eastAsia="zh-CN"/>
              </w:rPr>
            </w:pPr>
            <w:r>
              <w:rPr>
                <w:rFonts w:hint="eastAsia" w:ascii="宋体" w:hAnsi="宋体" w:eastAsia="宋体" w:cs="宋体"/>
                <w:color w:val="auto"/>
                <w:spacing w:val="-8"/>
                <w:sz w:val="24"/>
                <w:szCs w:val="24"/>
                <w:highlight w:val="none"/>
                <w:lang w:val="en-US" w:eastAsia="zh-CN"/>
              </w:rPr>
              <w:t>基本保障售后服务能响应的，得0-7分。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207" w:type="dxa"/>
            <w:noWrap w:val="0"/>
            <w:vAlign w:val="bottom"/>
          </w:tcPr>
          <w:p>
            <w:pPr>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w:t>
            </w:r>
          </w:p>
        </w:tc>
        <w:tc>
          <w:tcPr>
            <w:tcW w:w="9183" w:type="dxa"/>
            <w:gridSpan w:val="3"/>
            <w:noWrap w:val="0"/>
            <w:vAlign w:val="bottom"/>
          </w:tcPr>
          <w:p>
            <w:pPr>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100分</w:t>
            </w:r>
          </w:p>
        </w:tc>
      </w:tr>
    </w:tbl>
    <w:p>
      <w:pPr>
        <w:ind w:firstLine="640" w:firstLineChars="200"/>
        <w:rPr>
          <w:rFonts w:hint="eastAsia" w:ascii="楷体_GB2312" w:hAnsi="楷体_GB2312" w:eastAsia="楷体_GB2312" w:cs="楷体_GB2312"/>
          <w:sz w:val="32"/>
          <w:szCs w:val="32"/>
          <w:lang w:val="en-US" w:eastAsia="zh-CN"/>
        </w:rPr>
      </w:pPr>
    </w:p>
    <w:bookmarkEnd w:id="1"/>
    <w:p>
      <w:pPr>
        <w:keepNext w:val="0"/>
        <w:keepLines w:val="0"/>
        <w:widowControl w:val="0"/>
        <w:suppressLineNumbers w:val="0"/>
        <w:autoSpaceDE w:val="0"/>
        <w:autoSpaceDN w:val="0"/>
        <w:spacing w:before="0" w:beforeAutospacing="0" w:after="0" w:afterAutospacing="0" w:line="460" w:lineRule="exact"/>
        <w:ind w:left="0" w:right="0"/>
        <w:jc w:val="center"/>
        <w:rPr>
          <w:rFonts w:hint="eastAsia" w:ascii="方正小标宋_GBK" w:hAnsi="方正小标宋_GBK" w:eastAsia="方正小标宋_GBK" w:cs="方正小标宋_GBK"/>
          <w:b w:val="0"/>
          <w:bCs/>
          <w:kern w:val="0"/>
          <w:sz w:val="32"/>
          <w:szCs w:val="32"/>
          <w:lang w:val="en-US" w:eastAsia="zh-CN" w:bidi="ar"/>
        </w:rPr>
      </w:pPr>
    </w:p>
    <w:p>
      <w:pPr>
        <w:pStyle w:val="2"/>
        <w:rPr>
          <w:rFonts w:hint="eastAsia"/>
          <w:lang w:val="en-US" w:eastAsia="zh-CN"/>
        </w:rPr>
      </w:pPr>
    </w:p>
    <w:p/>
    <w:sectPr>
      <w:headerReference r:id="rId3" w:type="default"/>
      <w:pgSz w:w="11907" w:h="16840"/>
      <w:pgMar w:top="1701" w:right="1531" w:bottom="1588" w:left="147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A56B69"/>
    <w:rsid w:val="48A56B69"/>
    <w:rsid w:val="6B8A0274"/>
    <w:rsid w:val="77621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宋体"/>
      <w:sz w:val="24"/>
      <w:szCs w:val="24"/>
      <w:lang w:val="en-US" w:eastAsia="zh-CN" w:bidi="ar-SA"/>
    </w:rPr>
  </w:style>
  <w:style w:type="paragraph" w:styleId="3">
    <w:name w:val="Body Text"/>
    <w:basedOn w:val="1"/>
    <w:next w:val="4"/>
    <w:qFormat/>
    <w:uiPriority w:val="0"/>
    <w:pPr>
      <w:spacing w:after="120"/>
    </w:pPr>
  </w:style>
  <w:style w:type="paragraph" w:styleId="4">
    <w:name w:val="Body Text First Indent"/>
    <w:basedOn w:val="3"/>
    <w:qFormat/>
    <w:uiPriority w:val="0"/>
    <w:pPr>
      <w:ind w:firstLine="420" w:firstLineChars="100"/>
    </w:pPr>
  </w:style>
  <w:style w:type="paragraph" w:styleId="5">
    <w:name w:val="Block Text"/>
    <w:basedOn w:val="1"/>
    <w:unhideWhenUsed/>
    <w:qFormat/>
    <w:uiPriority w:val="99"/>
    <w:pPr>
      <w:spacing w:after="120"/>
      <w:ind w:left="1440" w:leftChars="700" w:right="700" w:rightChars="700"/>
    </w:p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next w:val="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olor w:val="000000"/>
      <w:kern w:val="0"/>
      <w:sz w:val="24"/>
    </w:rPr>
  </w:style>
  <w:style w:type="character" w:styleId="11">
    <w:name w:val="page number"/>
    <w:qFormat/>
    <w:uiPriority w:val="0"/>
  </w:style>
  <w:style w:type="paragraph" w:customStyle="1" w:styleId="12">
    <w:name w:val="正文文字"/>
    <w:basedOn w:val="4"/>
    <w:next w:val="1"/>
    <w:qFormat/>
    <w:uiPriority w:val="99"/>
    <w:pPr>
      <w:ind w:firstLine="200"/>
    </w:pPr>
    <w:rPr>
      <w:rFonts w:ascii="仿宋_GB2312"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2024-08-06T08:43:00Z</dcterms:created>
  <dc:creator>admin</dc:creator>
  <cp:lastModifiedBy>admin</cp:lastModifiedBy>
  <dcterms:modified xsi:type="dcterms:W3CDTF">2024-08-07T06:37:28Z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