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bidi w:val="0"/>
        <w:jc w:val="center"/>
      </w:pPr>
      <w:r>
        <w:rPr>
          <w:rFonts w:hint="eastAsia"/>
          <w:lang w:val="en-US" w:eastAsia="zh-CN"/>
        </w:rPr>
        <w:t>夏家山加工厂地块固定资产市场价值评估的招标</w:t>
      </w:r>
      <w:r>
        <w:rPr>
          <w:rFonts w:hint="eastAsia"/>
        </w:rPr>
        <w:t>公告</w:t>
      </w:r>
    </w:p>
    <w:p>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640" w:firstLineChars="200"/>
        <w:jc w:val="both"/>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依据黄石市城发土地资产运营管理有限公司计划，拟就夏家山加工厂地块固定资产市场价值评估项目以公开招标的方式进行采购，欢迎符合资格条件的招标投标人参与本项目的招标。具体事项如下：</w:t>
      </w:r>
    </w:p>
    <w:p>
      <w:pPr>
        <w:keepNext w:val="0"/>
        <w:keepLines w:val="0"/>
        <w:pageBreakBefore w:val="0"/>
        <w:widowControl w:val="0"/>
        <w:numPr>
          <w:ilvl w:val="0"/>
          <w:numId w:val="1"/>
        </w:numPr>
        <w:kinsoku/>
        <w:wordWrap/>
        <w:overflowPunct/>
        <w:topLinePunct w:val="0"/>
        <w:autoSpaceDE/>
        <w:autoSpaceDN/>
        <w:bidi w:val="0"/>
        <w:adjustRightInd/>
        <w:snapToGrid/>
        <w:spacing w:line="520" w:lineRule="exact"/>
        <w:ind w:left="0" w:leftChars="0" w:firstLine="640" w:firstLineChars="200"/>
        <w:jc w:val="left"/>
        <w:textAlignment w:val="auto"/>
        <w:outlineLvl w:val="1"/>
        <w:rPr>
          <w:rFonts w:hint="eastAsia" w:ascii="黑体" w:hAnsi="黑体" w:eastAsia="黑体" w:cs="黑体"/>
          <w:b w:val="0"/>
          <w:bCs w:val="0"/>
          <w:sz w:val="32"/>
          <w:szCs w:val="32"/>
          <w:lang w:val="en-US" w:eastAsia="zh-CN"/>
        </w:rPr>
      </w:pPr>
      <w:bookmarkStart w:id="0" w:name="_Toc22193"/>
      <w:bookmarkStart w:id="1" w:name="_Toc21610"/>
      <w:r>
        <w:rPr>
          <w:rFonts w:hint="eastAsia" w:ascii="黑体" w:hAnsi="黑体" w:eastAsia="黑体" w:cs="黑体"/>
          <w:b w:val="0"/>
          <w:bCs w:val="0"/>
          <w:sz w:val="32"/>
          <w:szCs w:val="32"/>
          <w:lang w:val="en-US" w:eastAsia="zh-CN"/>
        </w:rPr>
        <w:t>项目概况</w:t>
      </w:r>
      <w:bookmarkEnd w:id="0"/>
      <w:bookmarkEnd w:id="1"/>
    </w:p>
    <w:p>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640" w:firstLineChars="200"/>
        <w:jc w:val="both"/>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一</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项目名称：夏家山加工厂地块固定资产市场价值评估</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项目</w:t>
      </w:r>
    </w:p>
    <w:p>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640" w:firstLineChars="200"/>
        <w:jc w:val="both"/>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二</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服务</w:t>
      </w:r>
      <w:r>
        <w:rPr>
          <w:rFonts w:hint="eastAsia" w:ascii="仿宋_GB2312" w:hAnsi="仿宋_GB2312" w:eastAsia="仿宋_GB2312" w:cs="仿宋_GB2312"/>
          <w:color w:val="000000" w:themeColor="text1"/>
          <w:sz w:val="32"/>
          <w:szCs w:val="32"/>
          <w:lang w:eastAsia="zh-CN"/>
          <w14:textFill>
            <w14:solidFill>
              <w14:schemeClr w14:val="tx1"/>
            </w14:solidFill>
          </w14:textFill>
        </w:rPr>
        <w:t>周期</w:t>
      </w:r>
      <w:r>
        <w:rPr>
          <w:rFonts w:hint="eastAsia" w:ascii="仿宋_GB2312" w:hAnsi="仿宋_GB2312" w:eastAsia="仿宋_GB2312" w:cs="仿宋_GB2312"/>
          <w:color w:val="000000" w:themeColor="text1"/>
          <w:sz w:val="32"/>
          <w:szCs w:val="32"/>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中标单位自中标</w:t>
      </w:r>
      <w:r>
        <w:rPr>
          <w:rFonts w:hint="eastAsia" w:ascii="仿宋_GB2312" w:hAnsi="仿宋_GB2312" w:eastAsia="仿宋_GB2312" w:cs="仿宋_GB2312"/>
          <w:color w:val="auto"/>
          <w:sz w:val="32"/>
          <w:szCs w:val="32"/>
          <w:lang w:val="en-US" w:eastAsia="zh-CN"/>
        </w:rPr>
        <w:t>之日起30日</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内提供书面的资产评估报告。</w:t>
      </w:r>
    </w:p>
    <w:p>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640" w:firstLineChars="200"/>
        <w:jc w:val="both"/>
        <w:textAlignment w:val="auto"/>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三</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最高预算：</w:t>
      </w:r>
      <w:r>
        <w:rPr>
          <w:rFonts w:hint="eastAsia" w:ascii="仿宋_GB2312" w:hAnsi="仿宋_GB2312" w:eastAsia="仿宋_GB2312" w:cs="仿宋_GB2312"/>
          <w:color w:val="auto"/>
          <w:sz w:val="32"/>
          <w:szCs w:val="32"/>
          <w:lang w:val="en-US" w:eastAsia="zh-CN"/>
        </w:rPr>
        <w:t>7</w:t>
      </w:r>
      <w:r>
        <w:rPr>
          <w:rFonts w:hint="eastAsia" w:ascii="仿宋_GB2312" w:hAnsi="仿宋_GB2312" w:eastAsia="仿宋_GB2312" w:cs="仿宋_GB2312"/>
          <w:color w:val="000000" w:themeColor="text1"/>
          <w:sz w:val="32"/>
          <w:szCs w:val="32"/>
          <w14:textFill>
            <w14:solidFill>
              <w14:schemeClr w14:val="tx1"/>
            </w14:solidFill>
          </w14:textFill>
        </w:rPr>
        <w:t>万元整</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整个项目打包的包干费用</w:t>
      </w:r>
      <w:r>
        <w:rPr>
          <w:rFonts w:hint="eastAsia" w:ascii="仿宋_GB2312" w:hAnsi="仿宋_GB2312" w:eastAsia="仿宋_GB2312" w:cs="仿宋_GB2312"/>
          <w:color w:val="000000" w:themeColor="text1"/>
          <w:sz w:val="32"/>
          <w:szCs w:val="32"/>
          <w:lang w:eastAsia="zh-CN"/>
          <w14:textFill>
            <w14:solidFill>
              <w14:schemeClr w14:val="tx1"/>
            </w14:solidFill>
          </w14:textFill>
        </w:rPr>
        <w:t>），超过最高价为无效</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报价。</w:t>
      </w:r>
    </w:p>
    <w:p>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640" w:firstLineChars="200"/>
        <w:jc w:val="both"/>
        <w:textAlignment w:val="auto"/>
        <w:outlineLvl w:val="1"/>
        <w:rPr>
          <w:rFonts w:hint="eastAsia" w:ascii="仿宋_GB2312" w:hAnsi="仿宋_GB2312" w:eastAsia="仿宋_GB2312" w:cs="仿宋_GB2312"/>
          <w:color w:val="000000" w:themeColor="text1"/>
          <w:sz w:val="32"/>
          <w:szCs w:val="32"/>
          <w14:textFill>
            <w14:solidFill>
              <w14:schemeClr w14:val="tx1"/>
            </w14:solidFill>
          </w14:textFill>
        </w:rPr>
      </w:pPr>
      <w:bookmarkStart w:id="2" w:name="_Toc16516"/>
      <w:bookmarkStart w:id="3" w:name="_Toc27526"/>
      <w:r>
        <w:rPr>
          <w:rFonts w:hint="eastAsia" w:ascii="黑体" w:hAnsi="黑体" w:eastAsia="黑体" w:cs="黑体"/>
          <w:b w:val="0"/>
          <w:bCs w:val="0"/>
          <w:sz w:val="32"/>
          <w:szCs w:val="32"/>
          <w:lang w:val="en-US" w:eastAsia="zh-CN"/>
        </w:rPr>
        <w:t>二、采购需求</w:t>
      </w:r>
      <w:bookmarkEnd w:id="2"/>
      <w:bookmarkEnd w:id="3"/>
    </w:p>
    <w:p>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640" w:firstLineChars="200"/>
        <w:jc w:val="both"/>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依据相关法律法规和行政监管文件要求及采购人委托，对该项目</w:t>
      </w:r>
      <w:r>
        <w:rPr>
          <w:rFonts w:hint="eastAsia" w:ascii="仿宋_GB2312" w:hAnsi="仿宋_GB2312" w:eastAsia="仿宋_GB2312" w:cs="仿宋_GB2312"/>
          <w:color w:val="000000" w:themeColor="text1"/>
          <w:sz w:val="32"/>
          <w:szCs w:val="32"/>
          <w14:textFill>
            <w14:solidFill>
              <w14:schemeClr w14:val="tx1"/>
            </w14:solidFill>
          </w14:textFill>
        </w:rPr>
        <w:t>固定资产市场价值</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进行</w:t>
      </w:r>
      <w:r>
        <w:rPr>
          <w:rFonts w:hint="eastAsia" w:ascii="仿宋_GB2312" w:hAnsi="仿宋_GB2312" w:eastAsia="仿宋_GB2312" w:cs="仿宋_GB2312"/>
          <w:color w:val="000000" w:themeColor="text1"/>
          <w:sz w:val="32"/>
          <w:szCs w:val="32"/>
          <w14:textFill>
            <w14:solidFill>
              <w14:schemeClr w14:val="tx1"/>
            </w14:solidFill>
          </w14:textFill>
        </w:rPr>
        <w:t>评估</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，并在收到采购人委托后的</w:t>
      </w:r>
      <w:r>
        <w:rPr>
          <w:rFonts w:hint="eastAsia" w:ascii="仿宋_GB2312" w:hAnsi="仿宋_GB2312" w:eastAsia="仿宋_GB2312" w:cs="仿宋_GB2312"/>
          <w:color w:val="auto"/>
          <w:sz w:val="32"/>
          <w:szCs w:val="32"/>
          <w:lang w:val="en-US" w:eastAsia="zh-CN"/>
        </w:rPr>
        <w:t>30个</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日历天内完成资产评估工作并出具评估报告书，工作内容包括：项目现场勘察、现场固定资产价值清算与评估、报告编制与修改等工作。</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jc w:val="left"/>
        <w:textAlignment w:val="auto"/>
        <w:outlineLvl w:val="1"/>
        <w:rPr>
          <w:rFonts w:hint="default" w:ascii="黑体" w:hAnsi="黑体" w:eastAsia="黑体" w:cs="黑体"/>
          <w:b w:val="0"/>
          <w:bCs w:val="0"/>
          <w:sz w:val="32"/>
          <w:szCs w:val="32"/>
          <w:lang w:val="en-US" w:eastAsia="zh-CN"/>
        </w:rPr>
      </w:pPr>
      <w:bookmarkStart w:id="4" w:name="_Toc10730"/>
      <w:bookmarkStart w:id="5" w:name="_Toc25168"/>
      <w:r>
        <w:rPr>
          <w:rFonts w:hint="eastAsia" w:ascii="黑体" w:hAnsi="黑体" w:eastAsia="黑体" w:cs="黑体"/>
          <w:b w:val="0"/>
          <w:bCs w:val="0"/>
          <w:sz w:val="32"/>
          <w:szCs w:val="32"/>
          <w:lang w:val="en-US" w:eastAsia="zh-CN"/>
        </w:rPr>
        <w:t>三、资格条件</w:t>
      </w:r>
      <w:bookmarkEnd w:id="4"/>
      <w:bookmarkEnd w:id="5"/>
    </w:p>
    <w:p>
      <w:pPr>
        <w:keepNext w:val="0"/>
        <w:keepLines w:val="0"/>
        <w:pageBreakBefore w:val="0"/>
        <w:widowControl w:val="0"/>
        <w:kinsoku/>
        <w:wordWrap/>
        <w:overflowPunct/>
        <w:topLinePunct w:val="0"/>
        <w:autoSpaceDE/>
        <w:autoSpaceDN/>
        <w:bidi w:val="0"/>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合格的报价人应具有全面履行合同的能力，并应符合下列条件：</w:t>
      </w:r>
    </w:p>
    <w:p>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640" w:firstLineChars="200"/>
        <w:textAlignment w:val="auto"/>
        <w:rPr>
          <w:rStyle w:val="15"/>
          <w:rFonts w:hint="eastAsia" w:ascii="仿宋_GB2312" w:hAnsi="仿宋_GB2312" w:eastAsia="仿宋_GB2312" w:cs="仿宋_GB2312"/>
          <w:sz w:val="32"/>
          <w:szCs w:val="32"/>
          <w:highlight w:val="none"/>
          <w:lang w:eastAsia="zh-CN"/>
        </w:rPr>
      </w:pPr>
      <w:r>
        <w:rPr>
          <w:rStyle w:val="15"/>
          <w:rFonts w:hint="eastAsia" w:ascii="仿宋_GB2312" w:hAnsi="仿宋_GB2312" w:eastAsia="仿宋_GB2312" w:cs="仿宋_GB2312"/>
          <w:sz w:val="32"/>
          <w:szCs w:val="32"/>
          <w:highlight w:val="none"/>
          <w:lang w:val="en-US" w:eastAsia="zh-CN"/>
        </w:rPr>
        <w:t>（一）</w:t>
      </w:r>
      <w:r>
        <w:rPr>
          <w:rStyle w:val="15"/>
          <w:rFonts w:hint="eastAsia" w:ascii="仿宋_GB2312" w:hAnsi="仿宋_GB2312" w:eastAsia="仿宋_GB2312" w:cs="仿宋_GB2312"/>
          <w:sz w:val="32"/>
          <w:szCs w:val="32"/>
          <w:highlight w:val="none"/>
        </w:rPr>
        <w:t>满足《中华人民共和国政府采购法》第二十二条规定</w:t>
      </w:r>
      <w:r>
        <w:rPr>
          <w:rStyle w:val="15"/>
          <w:rFonts w:hint="eastAsia" w:ascii="仿宋_GB2312" w:hAnsi="仿宋_GB2312" w:eastAsia="仿宋_GB2312" w:cs="仿宋_GB2312"/>
          <w:sz w:val="32"/>
          <w:szCs w:val="32"/>
          <w:highlight w:val="none"/>
          <w:lang w:eastAsia="zh-CN"/>
        </w:rPr>
        <w:t>。</w:t>
      </w:r>
    </w:p>
    <w:p>
      <w:pPr>
        <w:pStyle w:val="2"/>
        <w:ind w:firstLine="640" w:firstLineChars="200"/>
        <w:rPr>
          <w:rStyle w:val="15"/>
          <w:rFonts w:hint="eastAsia" w:ascii="仿宋_GB2312" w:hAnsi="仿宋_GB2312" w:eastAsia="仿宋_GB2312" w:cs="仿宋_GB2312"/>
          <w:sz w:val="32"/>
          <w:szCs w:val="32"/>
          <w:highlight w:val="none"/>
          <w:lang w:eastAsia="zh-CN"/>
        </w:rPr>
      </w:pPr>
      <w:r>
        <w:rPr>
          <w:rStyle w:val="15"/>
          <w:rFonts w:hint="eastAsia" w:ascii="仿宋_GB2312" w:hAnsi="仿宋_GB2312" w:eastAsia="仿宋_GB2312" w:cs="仿宋_GB2312"/>
          <w:sz w:val="32"/>
          <w:szCs w:val="32"/>
          <w:highlight w:val="none"/>
          <w:lang w:val="en-US" w:eastAsia="zh-CN"/>
        </w:rPr>
        <w:t>（二）</w:t>
      </w:r>
      <w:r>
        <w:rPr>
          <w:rStyle w:val="15"/>
          <w:rFonts w:hint="eastAsia" w:ascii="仿宋_GB2312" w:hAnsi="仿宋_GB2312" w:eastAsia="仿宋_GB2312" w:cs="仿宋_GB2312"/>
          <w:sz w:val="32"/>
          <w:szCs w:val="32"/>
          <w:highlight w:val="none"/>
        </w:rPr>
        <w:t>在中国境内注册并取得的具备独立法人资格的营业执照（三证合一），具有相应的经营范围，且在有效期内</w:t>
      </w:r>
      <w:r>
        <w:rPr>
          <w:rStyle w:val="15"/>
          <w:rFonts w:hint="eastAsia" w:ascii="仿宋_GB2312" w:hAnsi="仿宋_GB2312" w:eastAsia="仿宋_GB2312" w:cs="仿宋_GB2312"/>
          <w:sz w:val="32"/>
          <w:szCs w:val="32"/>
          <w:highlight w:val="none"/>
          <w:lang w:eastAsia="zh-CN"/>
        </w:rPr>
        <w:t>。</w:t>
      </w:r>
    </w:p>
    <w:p>
      <w:pPr>
        <w:pStyle w:val="2"/>
        <w:ind w:firstLine="640" w:firstLineChars="200"/>
        <w:rPr>
          <w:rFonts w:hint="eastAsia"/>
          <w:lang w:eastAsia="zh-CN"/>
        </w:rPr>
      </w:pPr>
      <w:r>
        <w:rPr>
          <w:rFonts w:hint="eastAsia" w:ascii="仿宋_GB2312" w:hAnsi="仿宋_GB2312" w:eastAsia="仿宋_GB2312" w:cs="仿宋_GB2312"/>
          <w:bCs/>
          <w:sz w:val="32"/>
          <w:szCs w:val="32"/>
          <w:highlight w:val="none"/>
          <w:lang w:val="en-US" w:eastAsia="zh-CN"/>
        </w:rPr>
        <w:t>（三）</w:t>
      </w:r>
      <w:r>
        <w:rPr>
          <w:rStyle w:val="15"/>
          <w:rFonts w:hint="eastAsia" w:ascii="仿宋_GB2312" w:hAnsi="仿宋_GB2312" w:eastAsia="仿宋_GB2312" w:cs="仿宋_GB2312"/>
          <w:sz w:val="32"/>
          <w:szCs w:val="32"/>
          <w:highlight w:val="none"/>
        </w:rPr>
        <w:t>近三年（</w:t>
      </w:r>
      <w:r>
        <w:rPr>
          <w:rStyle w:val="15"/>
          <w:rFonts w:hint="eastAsia" w:hAnsi="仿宋_GB2312" w:cs="仿宋_GB2312"/>
          <w:sz w:val="32"/>
          <w:szCs w:val="32"/>
          <w:highlight w:val="none"/>
          <w:lang w:val="en-US" w:eastAsia="zh-CN"/>
        </w:rPr>
        <w:t>公告</w:t>
      </w:r>
      <w:r>
        <w:rPr>
          <w:rStyle w:val="15"/>
          <w:rFonts w:hint="eastAsia" w:ascii="仿宋_GB2312" w:hAnsi="仿宋_GB2312" w:eastAsia="仿宋_GB2312" w:cs="仿宋_GB2312"/>
          <w:sz w:val="32"/>
          <w:szCs w:val="32"/>
          <w:highlight w:val="none"/>
        </w:rPr>
        <w:t>截止日前三年）至少完成过类似</w:t>
      </w:r>
      <w:r>
        <w:rPr>
          <w:rStyle w:val="15"/>
          <w:rFonts w:hint="eastAsia" w:hAnsi="仿宋_GB2312" w:cs="仿宋_GB2312"/>
          <w:sz w:val="32"/>
          <w:szCs w:val="32"/>
          <w:highlight w:val="none"/>
          <w:lang w:val="en-US" w:eastAsia="zh-CN"/>
        </w:rPr>
        <w:t>评估</w:t>
      </w:r>
      <w:r>
        <w:rPr>
          <w:rStyle w:val="15"/>
          <w:rFonts w:hint="eastAsia" w:ascii="仿宋_GB2312" w:hAnsi="仿宋_GB2312" w:eastAsia="仿宋_GB2312" w:cs="仿宋_GB2312"/>
          <w:sz w:val="32"/>
          <w:szCs w:val="32"/>
          <w:highlight w:val="none"/>
          <w:lang w:eastAsia="zh-CN"/>
        </w:rPr>
        <w:t>业绩</w:t>
      </w:r>
      <w:r>
        <w:rPr>
          <w:rStyle w:val="15"/>
          <w:rFonts w:hint="eastAsia" w:ascii="仿宋_GB2312" w:hAnsi="仿宋_GB2312" w:eastAsia="仿宋_GB2312" w:cs="仿宋_GB2312"/>
          <w:sz w:val="32"/>
          <w:szCs w:val="32"/>
          <w:highlight w:val="none"/>
        </w:rPr>
        <w:t>（须提供中标通知书或合同协议书并加盖公章）</w:t>
      </w:r>
      <w:r>
        <w:rPr>
          <w:rStyle w:val="15"/>
          <w:rFonts w:hint="eastAsia" w:hAnsi="仿宋_GB2312" w:cs="仿宋_GB2312"/>
          <w:sz w:val="32"/>
          <w:szCs w:val="32"/>
          <w:highlight w:val="none"/>
          <w:lang w:eastAsia="zh-CN"/>
        </w:rPr>
        <w:t>。</w:t>
      </w:r>
    </w:p>
    <w:p>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textAlignment w:val="auto"/>
        <w:rPr>
          <w:rFonts w:hint="eastAsia" w:ascii="仿宋_GB2312" w:hAnsi="仿宋_GB2312" w:eastAsia="仿宋_GB2312" w:cs="仿宋_GB2312"/>
          <w:bCs/>
          <w:sz w:val="32"/>
          <w:szCs w:val="32"/>
          <w:highlight w:val="none"/>
        </w:rPr>
      </w:pPr>
      <w:r>
        <w:rPr>
          <w:rFonts w:hint="eastAsia" w:ascii="仿宋_GB2312" w:hAnsi="仿宋_GB2312" w:eastAsia="仿宋_GB2312" w:cs="仿宋_GB2312"/>
          <w:bCs/>
          <w:sz w:val="32"/>
          <w:szCs w:val="32"/>
          <w:highlight w:val="none"/>
          <w:lang w:val="en-US" w:eastAsia="zh-CN"/>
        </w:rPr>
        <w:t>（四）</w:t>
      </w:r>
      <w:r>
        <w:rPr>
          <w:rFonts w:hint="eastAsia" w:ascii="仿宋_GB2312" w:hAnsi="仿宋_GB2312" w:eastAsia="仿宋_GB2312" w:cs="仿宋_GB2312"/>
          <w:bCs/>
          <w:sz w:val="32"/>
          <w:szCs w:val="32"/>
          <w:highlight w:val="none"/>
        </w:rPr>
        <w:t>未被列入“信用中国”网站(www.creditchina.gov.cn)失信被执行人、重大税收违法案件当事人，以评审当日查询结果为准。</w:t>
      </w:r>
    </w:p>
    <w:p>
      <w:pPr>
        <w:keepNext w:val="0"/>
        <w:keepLines w:val="0"/>
        <w:pageBreakBefore w:val="0"/>
        <w:widowControl w:val="0"/>
        <w:kinsoku/>
        <w:wordWrap/>
        <w:overflowPunct/>
        <w:topLinePunct w:val="0"/>
        <w:autoSpaceDE/>
        <w:autoSpaceDN/>
        <w:bidi w:val="0"/>
        <w:spacing w:line="520" w:lineRule="exact"/>
        <w:ind w:firstLine="640" w:firstLineChars="200"/>
        <w:textAlignment w:val="auto"/>
        <w:outlineLvl w:val="1"/>
        <w:rPr>
          <w:rFonts w:hint="eastAsia" w:ascii="仿宋_GB2312" w:hAnsi="仿宋_GB2312" w:eastAsia="仿宋_GB2312" w:cs="仿宋_GB2312"/>
          <w:sz w:val="32"/>
          <w:szCs w:val="32"/>
        </w:rPr>
      </w:pPr>
      <w:bookmarkStart w:id="6" w:name="_Toc32464"/>
      <w:bookmarkStart w:id="7" w:name="_Toc11973"/>
      <w:r>
        <w:rPr>
          <w:rFonts w:hint="eastAsia" w:ascii="黑体" w:hAnsi="黑体" w:eastAsia="黑体" w:cs="黑体"/>
          <w:b w:val="0"/>
          <w:bCs w:val="0"/>
          <w:sz w:val="32"/>
          <w:szCs w:val="32"/>
          <w:lang w:val="en-US" w:eastAsia="zh-CN"/>
        </w:rPr>
        <w:t>四、投标文件内容（均需盖公章）</w:t>
      </w:r>
      <w:bookmarkEnd w:id="6"/>
      <w:bookmarkEnd w:id="7"/>
    </w:p>
    <w:p>
      <w:pPr>
        <w:keepNext w:val="0"/>
        <w:keepLines w:val="0"/>
        <w:pageBreakBefore w:val="0"/>
        <w:widowControl w:val="0"/>
        <w:kinsoku/>
        <w:wordWrap/>
        <w:overflowPunct/>
        <w:topLinePunct w:val="0"/>
        <w:autoSpaceDE/>
        <w:autoSpaceDN/>
        <w:bidi w:val="0"/>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一</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报价表（附件1）；</w:t>
      </w:r>
    </w:p>
    <w:p>
      <w:pPr>
        <w:keepNext w:val="0"/>
        <w:keepLines w:val="0"/>
        <w:pageBreakBefore w:val="0"/>
        <w:widowControl w:val="0"/>
        <w:kinsoku/>
        <w:wordWrap/>
        <w:overflowPunct/>
        <w:topLinePunct w:val="0"/>
        <w:autoSpaceDE/>
        <w:autoSpaceDN/>
        <w:bidi w:val="0"/>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二</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授权委托书（附件2）；</w:t>
      </w:r>
    </w:p>
    <w:p>
      <w:pPr>
        <w:keepNext w:val="0"/>
        <w:keepLines w:val="0"/>
        <w:pageBreakBefore w:val="0"/>
        <w:widowControl w:val="0"/>
        <w:kinsoku/>
        <w:wordWrap/>
        <w:overflowPunct/>
        <w:topLinePunct w:val="0"/>
        <w:autoSpaceDE/>
        <w:autoSpaceDN/>
        <w:bidi w:val="0"/>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三</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营业执照副本或事业单位法人证书复印件；</w:t>
      </w:r>
    </w:p>
    <w:p>
      <w:pPr>
        <w:keepNext w:val="0"/>
        <w:keepLines w:val="0"/>
        <w:pageBreakBefore w:val="0"/>
        <w:widowControl w:val="0"/>
        <w:kinsoku/>
        <w:wordWrap/>
        <w:overflowPunct/>
        <w:topLinePunct w:val="0"/>
        <w:autoSpaceDE/>
        <w:autoSpaceDN/>
        <w:bidi w:val="0"/>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四</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“信用中国”查询截图；</w:t>
      </w:r>
    </w:p>
    <w:p>
      <w:pPr>
        <w:keepNext w:val="0"/>
        <w:keepLines w:val="0"/>
        <w:pageBreakBefore w:val="0"/>
        <w:widowControl w:val="0"/>
        <w:kinsoku/>
        <w:wordWrap/>
        <w:overflowPunct/>
        <w:topLinePunct w:val="0"/>
        <w:autoSpaceDE/>
        <w:autoSpaceDN/>
        <w:bidi w:val="0"/>
        <w:spacing w:line="52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五</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承诺书（附件3）</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spacing w:line="520" w:lineRule="exact"/>
        <w:ind w:firstLine="640" w:firstLineChars="200"/>
        <w:textAlignment w:val="auto"/>
        <w:rPr>
          <w:rFonts w:hint="eastAsia"/>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六</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近三年业绩合同复印件。</w:t>
      </w:r>
    </w:p>
    <w:p>
      <w:pPr>
        <w:keepNext w:val="0"/>
        <w:keepLines w:val="0"/>
        <w:pageBreakBefore w:val="0"/>
        <w:widowControl w:val="0"/>
        <w:kinsoku/>
        <w:wordWrap/>
        <w:overflowPunct/>
        <w:topLinePunct w:val="0"/>
        <w:autoSpaceDE/>
        <w:autoSpaceDN/>
        <w:bidi w:val="0"/>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备注：</w:t>
      </w:r>
      <w:r>
        <w:rPr>
          <w:rFonts w:hint="eastAsia" w:ascii="仿宋_GB2312" w:hAnsi="仿宋_GB2312" w:eastAsia="仿宋_GB2312" w:cs="仿宋_GB2312"/>
          <w:sz w:val="32"/>
          <w:szCs w:val="32"/>
          <w:lang w:val="en-US" w:eastAsia="zh-CN"/>
        </w:rPr>
        <w:t>投标</w:t>
      </w:r>
      <w:r>
        <w:rPr>
          <w:rFonts w:hint="eastAsia" w:ascii="仿宋_GB2312" w:hAnsi="仿宋_GB2312" w:eastAsia="仿宋_GB2312" w:cs="仿宋_GB2312"/>
          <w:sz w:val="32"/>
          <w:szCs w:val="32"/>
        </w:rPr>
        <w:t>文件要求装订成册后密封，一式三份，报价大小写数据不一致以大写为准，总价与单价不一致以</w:t>
      </w:r>
      <w:r>
        <w:rPr>
          <w:rFonts w:hint="eastAsia" w:ascii="仿宋_GB2312" w:hAnsi="仿宋_GB2312" w:eastAsia="仿宋_GB2312" w:cs="仿宋_GB2312"/>
          <w:sz w:val="32"/>
          <w:szCs w:val="32"/>
          <w:lang w:val="en-US" w:eastAsia="zh-CN"/>
        </w:rPr>
        <w:t>总</w:t>
      </w:r>
      <w:r>
        <w:rPr>
          <w:rFonts w:hint="eastAsia" w:ascii="仿宋_GB2312" w:hAnsi="仿宋_GB2312" w:eastAsia="仿宋_GB2312" w:cs="仿宋_GB2312"/>
          <w:sz w:val="32"/>
          <w:szCs w:val="32"/>
        </w:rPr>
        <w:t>价为准。如有弄虚作假行为，视同放弃中标资格并承担相应的法律责任。</w:t>
      </w:r>
    </w:p>
    <w:p>
      <w:pPr>
        <w:keepNext w:val="0"/>
        <w:keepLines w:val="0"/>
        <w:pageBreakBefore w:val="0"/>
        <w:widowControl w:val="0"/>
        <w:kinsoku/>
        <w:wordWrap/>
        <w:overflowPunct/>
        <w:topLinePunct w:val="0"/>
        <w:autoSpaceDE/>
        <w:autoSpaceDN/>
        <w:bidi w:val="0"/>
        <w:spacing w:line="520" w:lineRule="exact"/>
        <w:ind w:firstLine="640" w:firstLineChars="200"/>
        <w:textAlignment w:val="auto"/>
        <w:outlineLvl w:val="1"/>
        <w:rPr>
          <w:rFonts w:hint="eastAsia" w:ascii="仿宋_GB2312" w:hAnsi="仿宋_GB2312" w:eastAsia="仿宋_GB2312" w:cs="仿宋_GB2312"/>
          <w:sz w:val="32"/>
          <w:szCs w:val="32"/>
        </w:rPr>
      </w:pPr>
      <w:bookmarkStart w:id="8" w:name="_Toc1173"/>
      <w:bookmarkStart w:id="9" w:name="_Toc16020"/>
      <w:r>
        <w:rPr>
          <w:rFonts w:hint="eastAsia" w:ascii="黑体" w:hAnsi="黑体" w:eastAsia="黑体" w:cs="黑体"/>
          <w:b w:val="0"/>
          <w:bCs w:val="0"/>
          <w:sz w:val="32"/>
          <w:szCs w:val="32"/>
          <w:lang w:val="en-US" w:eastAsia="zh-CN"/>
        </w:rPr>
        <w:t>五、中标原则</w:t>
      </w:r>
      <w:bookmarkEnd w:id="8"/>
      <w:bookmarkEnd w:id="9"/>
    </w:p>
    <w:p>
      <w:pPr>
        <w:pStyle w:val="10"/>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520" w:lineRule="exact"/>
        <w:ind w:left="0" w:leftChars="0" w:righ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2"/>
          <w:sz w:val="32"/>
          <w:szCs w:val="32"/>
          <w:highlight w:val="none"/>
          <w:lang w:val="en-US" w:eastAsia="zh-CN" w:bidi="ar-SA"/>
        </w:rPr>
        <w:t>本项目采用“综合评分”方法实施招投标活动，有关条款详见招标文件</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spacing w:line="520" w:lineRule="exact"/>
        <w:ind w:firstLine="640" w:firstLineChars="200"/>
        <w:textAlignment w:val="auto"/>
        <w:outlineLvl w:val="1"/>
        <w:rPr>
          <w:rFonts w:hint="eastAsia" w:ascii="仿宋_GB2312" w:hAnsi="仿宋_GB2312" w:eastAsia="仿宋_GB2312" w:cs="仿宋_GB2312"/>
          <w:sz w:val="32"/>
          <w:szCs w:val="32"/>
        </w:rPr>
      </w:pPr>
      <w:bookmarkStart w:id="10" w:name="_Toc22706"/>
      <w:bookmarkStart w:id="11" w:name="_Toc32421"/>
      <w:r>
        <w:rPr>
          <w:rFonts w:hint="eastAsia" w:ascii="黑体" w:hAnsi="黑体" w:eastAsia="黑体" w:cs="黑体"/>
          <w:b w:val="0"/>
          <w:bCs w:val="0"/>
          <w:sz w:val="32"/>
          <w:szCs w:val="32"/>
          <w:lang w:val="en-US" w:eastAsia="zh-CN"/>
        </w:rPr>
        <w:t>六、签订合同及付款方式</w:t>
      </w:r>
      <w:bookmarkEnd w:id="10"/>
      <w:bookmarkEnd w:id="11"/>
    </w:p>
    <w:p>
      <w:pPr>
        <w:keepNext w:val="0"/>
        <w:keepLines w:val="0"/>
        <w:pageBreakBefore w:val="0"/>
        <w:widowControl w:val="0"/>
        <w:kinsoku/>
        <w:wordWrap/>
        <w:overflowPunct/>
        <w:topLinePunct w:val="0"/>
        <w:autoSpaceDE/>
        <w:autoSpaceDN/>
        <w:bidi w:val="0"/>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采购文件、成交供应商的</w:t>
      </w:r>
      <w:r>
        <w:rPr>
          <w:rFonts w:hint="eastAsia" w:ascii="仿宋_GB2312" w:hAnsi="仿宋_GB2312" w:eastAsia="仿宋_GB2312" w:cs="仿宋_GB2312"/>
          <w:sz w:val="32"/>
          <w:szCs w:val="32"/>
          <w:lang w:val="en-US" w:eastAsia="zh-CN"/>
        </w:rPr>
        <w:t>投标</w:t>
      </w:r>
      <w:r>
        <w:rPr>
          <w:rFonts w:hint="eastAsia" w:ascii="仿宋_GB2312" w:hAnsi="仿宋_GB2312" w:eastAsia="仿宋_GB2312" w:cs="仿宋_GB2312"/>
          <w:sz w:val="32"/>
          <w:szCs w:val="32"/>
        </w:rPr>
        <w:t>文件及有效承诺文件、澄清文件等，均作为签订合同的依据，付款方式为</w:t>
      </w:r>
      <w:r>
        <w:rPr>
          <w:rFonts w:hint="eastAsia" w:ascii="仿宋_GB2312" w:hAnsi="仿宋_GB2312" w:eastAsia="仿宋_GB2312" w:cs="仿宋_GB2312"/>
          <w:sz w:val="32"/>
          <w:szCs w:val="32"/>
          <w:lang w:val="en-US" w:eastAsia="zh-CN"/>
        </w:rPr>
        <w:t>项目完成</w:t>
      </w:r>
      <w:r>
        <w:rPr>
          <w:rFonts w:hint="eastAsia" w:ascii="仿宋_GB2312" w:hAnsi="仿宋_GB2312" w:eastAsia="仿宋_GB2312" w:cs="仿宋_GB2312"/>
          <w:color w:val="auto"/>
          <w:sz w:val="32"/>
          <w:szCs w:val="32"/>
          <w:lang w:val="en-US" w:eastAsia="zh-CN"/>
        </w:rPr>
        <w:t>后30</w:t>
      </w:r>
      <w:r>
        <w:rPr>
          <w:rFonts w:hint="eastAsia" w:ascii="仿宋_GB2312" w:hAnsi="仿宋_GB2312" w:eastAsia="仿宋_GB2312" w:cs="仿宋_GB2312"/>
          <w:sz w:val="32"/>
          <w:szCs w:val="32"/>
          <w:lang w:val="en-US" w:eastAsia="zh-CN"/>
        </w:rPr>
        <w:t>日内付清全部合同款，</w:t>
      </w:r>
      <w:r>
        <w:rPr>
          <w:rFonts w:hint="eastAsia" w:ascii="仿宋_GB2312" w:hAnsi="仿宋_GB2312" w:eastAsia="仿宋_GB2312" w:cs="仿宋_GB2312"/>
          <w:sz w:val="32"/>
          <w:szCs w:val="32"/>
        </w:rPr>
        <w:t>具体以合同为准。</w:t>
      </w:r>
    </w:p>
    <w:p>
      <w:pPr>
        <w:keepNext w:val="0"/>
        <w:keepLines w:val="0"/>
        <w:pageBreakBefore w:val="0"/>
        <w:widowControl w:val="0"/>
        <w:kinsoku/>
        <w:wordWrap/>
        <w:overflowPunct/>
        <w:topLinePunct w:val="0"/>
        <w:autoSpaceDE/>
        <w:autoSpaceDN/>
        <w:bidi w:val="0"/>
        <w:spacing w:line="520" w:lineRule="exact"/>
        <w:ind w:firstLine="640" w:firstLineChars="200"/>
        <w:textAlignment w:val="auto"/>
        <w:outlineLvl w:val="1"/>
        <w:rPr>
          <w:rFonts w:hint="default" w:ascii="黑体" w:hAnsi="黑体" w:eastAsia="黑体" w:cs="黑体"/>
          <w:b w:val="0"/>
          <w:bCs w:val="0"/>
          <w:sz w:val="32"/>
          <w:szCs w:val="32"/>
          <w:lang w:val="en-US" w:eastAsia="zh-CN"/>
        </w:rPr>
      </w:pPr>
      <w:bookmarkStart w:id="12" w:name="_Toc32676"/>
      <w:bookmarkStart w:id="13" w:name="_Toc22216"/>
      <w:r>
        <w:rPr>
          <w:rFonts w:hint="eastAsia" w:ascii="黑体" w:hAnsi="黑体" w:eastAsia="黑体" w:cs="黑体"/>
          <w:b w:val="0"/>
          <w:bCs w:val="0"/>
          <w:sz w:val="32"/>
          <w:szCs w:val="32"/>
          <w:lang w:val="en-US" w:eastAsia="zh-CN"/>
        </w:rPr>
        <w:t>七、投标文件的递交</w:t>
      </w:r>
      <w:bookmarkEnd w:id="12"/>
      <w:bookmarkEnd w:id="13"/>
    </w:p>
    <w:p>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640" w:firstLineChars="200"/>
        <w:textAlignment w:val="auto"/>
        <w:rPr>
          <w:rFonts w:hint="eastAsia" w:ascii="仿宋_GB2312" w:hAnsi="仿宋_GB2312" w:eastAsia="仿宋_GB2312" w:cs="仿宋_GB2312"/>
          <w:color w:val="FF0000"/>
          <w:kern w:val="0"/>
          <w:sz w:val="32"/>
          <w:szCs w:val="32"/>
        </w:rPr>
      </w:pP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lang w:val="en-US" w:eastAsia="zh-CN"/>
        </w:rPr>
        <w:t>一</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lang w:val="en-US" w:eastAsia="zh-CN"/>
        </w:rPr>
        <w:t>投标</w:t>
      </w:r>
      <w:r>
        <w:rPr>
          <w:rFonts w:hint="eastAsia" w:ascii="仿宋_GB2312" w:hAnsi="仿宋_GB2312" w:eastAsia="仿宋_GB2312" w:cs="仿宋_GB2312"/>
          <w:kern w:val="0"/>
          <w:sz w:val="32"/>
          <w:szCs w:val="32"/>
        </w:rPr>
        <w:t>文件递交截止时间（</w:t>
      </w:r>
      <w:r>
        <w:rPr>
          <w:rFonts w:hint="eastAsia" w:ascii="仿宋_GB2312" w:hAnsi="仿宋_GB2312" w:eastAsia="仿宋_GB2312" w:cs="仿宋_GB2312"/>
          <w:kern w:val="0"/>
          <w:sz w:val="32"/>
          <w:szCs w:val="32"/>
          <w:lang w:val="en-US" w:eastAsia="zh-CN"/>
        </w:rPr>
        <w:t>递交</w:t>
      </w:r>
      <w:r>
        <w:rPr>
          <w:rFonts w:hint="eastAsia" w:ascii="仿宋_GB2312" w:hAnsi="仿宋_GB2312" w:eastAsia="仿宋_GB2312" w:cs="仿宋_GB2312"/>
          <w:kern w:val="0"/>
          <w:sz w:val="32"/>
          <w:szCs w:val="32"/>
        </w:rPr>
        <w:t>时间）：</w:t>
      </w:r>
      <w:r>
        <w:rPr>
          <w:rFonts w:hint="eastAsia" w:ascii="仿宋_GB2312" w:hAnsi="仿宋_GB2312" w:eastAsia="仿宋_GB2312" w:cs="仿宋_GB2312"/>
          <w:color w:val="FF0000"/>
          <w:kern w:val="0"/>
          <w:sz w:val="32"/>
          <w:szCs w:val="32"/>
        </w:rPr>
        <w:t>202</w:t>
      </w:r>
      <w:r>
        <w:rPr>
          <w:rFonts w:hint="eastAsia" w:ascii="仿宋_GB2312" w:hAnsi="仿宋_GB2312" w:eastAsia="仿宋_GB2312" w:cs="仿宋_GB2312"/>
          <w:color w:val="FF0000"/>
          <w:kern w:val="0"/>
          <w:sz w:val="32"/>
          <w:szCs w:val="32"/>
          <w:lang w:val="en-US" w:eastAsia="zh-CN"/>
        </w:rPr>
        <w:t>4</w:t>
      </w:r>
      <w:r>
        <w:rPr>
          <w:rFonts w:hint="eastAsia" w:ascii="仿宋_GB2312" w:hAnsi="仿宋_GB2312" w:eastAsia="仿宋_GB2312" w:cs="仿宋_GB2312"/>
          <w:color w:val="FF0000"/>
          <w:kern w:val="0"/>
          <w:sz w:val="32"/>
          <w:szCs w:val="32"/>
        </w:rPr>
        <w:t>年</w:t>
      </w:r>
      <w:r>
        <w:rPr>
          <w:rFonts w:hint="eastAsia" w:ascii="仿宋_GB2312" w:hAnsi="仿宋_GB2312" w:eastAsia="仿宋_GB2312" w:cs="仿宋_GB2312"/>
          <w:color w:val="FF0000"/>
          <w:kern w:val="0"/>
          <w:sz w:val="32"/>
          <w:szCs w:val="32"/>
          <w:lang w:val="en-US" w:eastAsia="zh-CN"/>
        </w:rPr>
        <w:t>3</w:t>
      </w:r>
      <w:r>
        <w:rPr>
          <w:rFonts w:hint="eastAsia" w:ascii="仿宋_GB2312" w:hAnsi="仿宋_GB2312" w:eastAsia="仿宋_GB2312" w:cs="仿宋_GB2312"/>
          <w:color w:val="FF0000"/>
          <w:kern w:val="0"/>
          <w:sz w:val="32"/>
          <w:szCs w:val="32"/>
        </w:rPr>
        <w:t>月</w:t>
      </w:r>
      <w:r>
        <w:rPr>
          <w:rFonts w:hint="eastAsia" w:ascii="仿宋_GB2312" w:hAnsi="仿宋_GB2312" w:eastAsia="仿宋_GB2312" w:cs="仿宋_GB2312"/>
          <w:color w:val="FF0000"/>
          <w:kern w:val="0"/>
          <w:sz w:val="32"/>
          <w:szCs w:val="32"/>
          <w:lang w:val="en-US" w:eastAsia="zh-CN"/>
        </w:rPr>
        <w:t>12</w:t>
      </w:r>
      <w:r>
        <w:rPr>
          <w:rFonts w:hint="eastAsia" w:ascii="仿宋_GB2312" w:hAnsi="仿宋_GB2312" w:eastAsia="仿宋_GB2312" w:cs="仿宋_GB2312"/>
          <w:color w:val="FF0000"/>
          <w:kern w:val="0"/>
          <w:sz w:val="32"/>
          <w:szCs w:val="32"/>
        </w:rPr>
        <w:t>日</w:t>
      </w:r>
      <w:r>
        <w:rPr>
          <w:rFonts w:hint="eastAsia" w:ascii="仿宋_GB2312" w:hAnsi="仿宋_GB2312" w:eastAsia="仿宋_GB2312" w:cs="仿宋_GB2312"/>
          <w:color w:val="FF0000"/>
          <w:kern w:val="0"/>
          <w:sz w:val="32"/>
          <w:szCs w:val="32"/>
          <w:lang w:val="en-US" w:eastAsia="zh-CN"/>
        </w:rPr>
        <w:t>14</w:t>
      </w:r>
      <w:r>
        <w:rPr>
          <w:rFonts w:hint="eastAsia" w:ascii="仿宋_GB2312" w:hAnsi="仿宋_GB2312" w:eastAsia="仿宋_GB2312" w:cs="仿宋_GB2312"/>
          <w:color w:val="FF0000"/>
          <w:kern w:val="0"/>
          <w:sz w:val="32"/>
          <w:szCs w:val="32"/>
        </w:rPr>
        <w:t>：</w:t>
      </w:r>
      <w:r>
        <w:rPr>
          <w:rFonts w:hint="eastAsia" w:ascii="仿宋_GB2312" w:hAnsi="仿宋_GB2312" w:eastAsia="仿宋_GB2312" w:cs="仿宋_GB2312"/>
          <w:color w:val="FF0000"/>
          <w:kern w:val="0"/>
          <w:sz w:val="32"/>
          <w:szCs w:val="32"/>
          <w:lang w:val="en-US" w:eastAsia="zh-CN"/>
        </w:rPr>
        <w:t>3</w:t>
      </w:r>
      <w:bookmarkStart w:id="30" w:name="_GoBack"/>
      <w:bookmarkEnd w:id="30"/>
      <w:r>
        <w:rPr>
          <w:rFonts w:hint="eastAsia" w:ascii="仿宋_GB2312" w:hAnsi="仿宋_GB2312" w:eastAsia="仿宋_GB2312" w:cs="仿宋_GB2312"/>
          <w:color w:val="FF0000"/>
          <w:kern w:val="0"/>
          <w:sz w:val="32"/>
          <w:szCs w:val="32"/>
          <w:lang w:val="en-US" w:eastAsia="zh-CN"/>
        </w:rPr>
        <w:t>0</w:t>
      </w:r>
      <w:r>
        <w:rPr>
          <w:rFonts w:hint="eastAsia" w:ascii="仿宋_GB2312" w:hAnsi="仿宋_GB2312" w:eastAsia="仿宋_GB2312" w:cs="仿宋_GB2312"/>
          <w:color w:val="FF0000"/>
          <w:kern w:val="0"/>
          <w:sz w:val="32"/>
          <w:szCs w:val="32"/>
        </w:rPr>
        <w:t>整。</w:t>
      </w:r>
    </w:p>
    <w:p>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640" w:firstLineChars="200"/>
        <w:textAlignment w:val="auto"/>
        <w:rPr>
          <w:rFonts w:hint="eastAsia" w:ascii="仿宋_GB2312" w:hAnsi="仿宋_GB2312" w:eastAsia="仿宋_GB2312" w:cs="仿宋_GB2312"/>
          <w:kern w:val="0"/>
          <w:sz w:val="32"/>
          <w:szCs w:val="32"/>
          <w:lang w:eastAsia="zh-CN"/>
        </w:rPr>
      </w:pPr>
      <w:r>
        <w:rPr>
          <w:rFonts w:hint="eastAsia" w:ascii="仿宋_GB2312" w:hAnsi="仿宋_GB2312" w:eastAsia="仿宋_GB2312" w:cs="仿宋_GB2312"/>
          <w:kern w:val="0"/>
          <w:sz w:val="32"/>
          <w:szCs w:val="32"/>
        </w:rPr>
        <w:fldChar w:fldCharType="begin"/>
      </w:r>
      <w:r>
        <w:rPr>
          <w:rFonts w:hint="eastAsia" w:ascii="仿宋_GB2312" w:hAnsi="仿宋_GB2312" w:eastAsia="仿宋_GB2312" w:cs="仿宋_GB2312"/>
          <w:kern w:val="0"/>
          <w:sz w:val="32"/>
          <w:szCs w:val="32"/>
        </w:rPr>
        <w:instrText xml:space="preserve"> HYPERLINK "https://www.baidu.com/link?url=uL3RrtTBbv5YS27LDfW7zFtaCwgC40oB2h08ZBgDe-i&amp;amp;wd&amp;amp;eqid=f29a7d930012f6ac000000065d517826" \h </w:instrText>
      </w:r>
      <w:r>
        <w:rPr>
          <w:rFonts w:hint="eastAsia" w:ascii="仿宋_GB2312" w:hAnsi="仿宋_GB2312" w:eastAsia="仿宋_GB2312" w:cs="仿宋_GB2312"/>
          <w:kern w:val="0"/>
          <w:sz w:val="32"/>
          <w:szCs w:val="32"/>
        </w:rPr>
        <w:fldChar w:fldCharType="separate"/>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lang w:val="en-US" w:eastAsia="zh-CN"/>
        </w:rPr>
        <w:t>二</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lang w:val="en-US" w:eastAsia="zh-CN"/>
        </w:rPr>
        <w:t>递交</w:t>
      </w:r>
      <w:r>
        <w:rPr>
          <w:rFonts w:hint="eastAsia" w:ascii="仿宋_GB2312" w:hAnsi="仿宋_GB2312" w:eastAsia="仿宋_GB2312" w:cs="仿宋_GB2312"/>
          <w:kern w:val="0"/>
          <w:sz w:val="32"/>
          <w:szCs w:val="32"/>
        </w:rPr>
        <w:t>地点：</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黄石市城发土地资产运营管理有限公司</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lang w:val="en-US" w:eastAsia="zh-CN"/>
        </w:rPr>
        <w:t>地址：黄石城发集团颐阳路办公区4楼会议室</w:t>
      </w:r>
      <w:r>
        <w:rPr>
          <w:rFonts w:hint="eastAsia" w:ascii="仿宋_GB2312" w:hAnsi="仿宋_GB2312" w:eastAsia="仿宋_GB2312" w:cs="仿宋_GB2312"/>
          <w:kern w:val="0"/>
          <w:sz w:val="32"/>
          <w:szCs w:val="32"/>
          <w:lang w:eastAsia="zh-CN"/>
        </w:rPr>
        <w:t>）</w:t>
      </w:r>
    </w:p>
    <w:p>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fldChar w:fldCharType="end"/>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lang w:val="en-US" w:eastAsia="zh-CN"/>
        </w:rPr>
        <w:t>三</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lang w:val="en-US" w:eastAsia="zh-CN"/>
        </w:rPr>
        <w:t>投标</w:t>
      </w:r>
      <w:r>
        <w:rPr>
          <w:rFonts w:hint="eastAsia" w:ascii="仿宋_GB2312" w:hAnsi="仿宋_GB2312" w:eastAsia="仿宋_GB2312" w:cs="仿宋_GB2312"/>
          <w:kern w:val="0"/>
          <w:sz w:val="32"/>
          <w:szCs w:val="32"/>
        </w:rPr>
        <w:t>文件采取现场递交的方式进行，截</w:t>
      </w:r>
      <w:r>
        <w:rPr>
          <w:rFonts w:hint="eastAsia" w:ascii="仿宋_GB2312" w:hAnsi="仿宋_GB2312" w:eastAsia="仿宋_GB2312" w:cs="仿宋_GB2312"/>
          <w:kern w:val="0"/>
          <w:sz w:val="32"/>
          <w:szCs w:val="32"/>
          <w:lang w:val="en-US" w:eastAsia="zh-CN"/>
        </w:rPr>
        <w:t>止</w:t>
      </w:r>
      <w:r>
        <w:rPr>
          <w:rFonts w:hint="eastAsia" w:ascii="仿宋_GB2312" w:hAnsi="仿宋_GB2312" w:eastAsia="仿宋_GB2312" w:cs="仿宋_GB2312"/>
          <w:kern w:val="0"/>
          <w:sz w:val="32"/>
          <w:szCs w:val="32"/>
        </w:rPr>
        <w:t>时间后递交的响应文件不予接收</w:t>
      </w:r>
      <w:r>
        <w:rPr>
          <w:rFonts w:hint="eastAsia" w:ascii="仿宋_GB2312" w:hAnsi="仿宋_GB2312" w:eastAsia="仿宋_GB2312" w:cs="仿宋_GB2312"/>
          <w:sz w:val="32"/>
          <w:szCs w:val="32"/>
        </w:rPr>
        <w:t>。</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jc w:val="left"/>
        <w:textAlignment w:val="auto"/>
        <w:outlineLvl w:val="1"/>
        <w:rPr>
          <w:rFonts w:hint="eastAsia" w:ascii="黑体" w:hAnsi="黑体" w:eastAsia="黑体" w:cs="黑体"/>
          <w:b w:val="0"/>
          <w:bCs w:val="0"/>
          <w:sz w:val="32"/>
          <w:szCs w:val="32"/>
          <w:lang w:val="en-US" w:eastAsia="zh-CN"/>
        </w:rPr>
      </w:pPr>
      <w:bookmarkStart w:id="14" w:name="_Toc538"/>
      <w:bookmarkStart w:id="15" w:name="_Toc29977"/>
      <w:r>
        <w:rPr>
          <w:rFonts w:hint="eastAsia" w:ascii="黑体" w:hAnsi="黑体" w:eastAsia="黑体" w:cs="黑体"/>
          <w:b w:val="0"/>
          <w:bCs w:val="0"/>
          <w:sz w:val="32"/>
          <w:szCs w:val="32"/>
          <w:lang w:val="en-US" w:eastAsia="zh-CN"/>
        </w:rPr>
        <w:t>八、发布公告的媒介</w:t>
      </w:r>
      <w:bookmarkEnd w:id="14"/>
      <w:bookmarkEnd w:id="15"/>
    </w:p>
    <w:p>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640" w:firstLineChars="200"/>
        <w:textAlignment w:val="auto"/>
        <w:rPr>
          <w:rFonts w:hint="eastAsia" w:ascii="仿宋_GB2312" w:hAnsi="仿宋_GB2312" w:eastAsia="仿宋_GB2312" w:cs="仿宋_GB2312"/>
          <w:kern w:val="0"/>
          <w:sz w:val="32"/>
          <w:szCs w:val="32"/>
        </w:rPr>
      </w:pPr>
      <w:bookmarkStart w:id="16" w:name="_Toc73631899"/>
      <w:r>
        <w:rPr>
          <w:rFonts w:hint="eastAsia" w:ascii="仿宋_GB2312" w:hAnsi="仿宋_GB2312" w:eastAsia="仿宋_GB2312" w:cs="仿宋_GB2312"/>
          <w:kern w:val="0"/>
          <w:sz w:val="32"/>
          <w:szCs w:val="32"/>
        </w:rPr>
        <w:t>本次</w:t>
      </w:r>
      <w:r>
        <w:rPr>
          <w:rFonts w:hint="eastAsia" w:ascii="仿宋_GB2312" w:hAnsi="仿宋_GB2312" w:eastAsia="仿宋_GB2312" w:cs="仿宋_GB2312"/>
          <w:kern w:val="0"/>
          <w:sz w:val="32"/>
          <w:szCs w:val="32"/>
          <w:lang w:val="en-US" w:eastAsia="zh-CN"/>
        </w:rPr>
        <w:t>招标</w:t>
      </w:r>
      <w:r>
        <w:rPr>
          <w:rFonts w:hint="eastAsia" w:ascii="仿宋_GB2312" w:hAnsi="仿宋_GB2312" w:eastAsia="仿宋_GB2312" w:cs="仿宋_GB2312"/>
          <w:kern w:val="0"/>
          <w:sz w:val="32"/>
          <w:szCs w:val="32"/>
        </w:rPr>
        <w:t>公告在黄石市城市发展投资集团有限公司网上发布。</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jc w:val="left"/>
        <w:textAlignment w:val="auto"/>
        <w:outlineLvl w:val="1"/>
        <w:rPr>
          <w:rFonts w:hint="eastAsia" w:ascii="黑体" w:hAnsi="黑体" w:eastAsia="黑体" w:cs="黑体"/>
          <w:b w:val="0"/>
          <w:bCs w:val="0"/>
          <w:sz w:val="32"/>
          <w:szCs w:val="32"/>
          <w:lang w:val="en-US" w:eastAsia="zh-CN"/>
        </w:rPr>
      </w:pPr>
      <w:bookmarkStart w:id="17" w:name="_Toc4326"/>
      <w:bookmarkStart w:id="18" w:name="_Toc14156"/>
      <w:r>
        <w:rPr>
          <w:rFonts w:hint="eastAsia" w:ascii="黑体" w:hAnsi="黑体" w:eastAsia="黑体" w:cs="黑体"/>
          <w:b w:val="0"/>
          <w:bCs w:val="0"/>
          <w:sz w:val="32"/>
          <w:szCs w:val="32"/>
          <w:lang w:val="en-US" w:eastAsia="zh-CN"/>
        </w:rPr>
        <w:t>九、联系方式</w:t>
      </w:r>
      <w:bookmarkEnd w:id="16"/>
      <w:bookmarkEnd w:id="17"/>
      <w:bookmarkEnd w:id="18"/>
    </w:p>
    <w:p>
      <w:pPr>
        <w:pStyle w:val="4"/>
        <w:keepNext w:val="0"/>
        <w:keepLines w:val="0"/>
        <w:pageBreakBefore w:val="0"/>
        <w:widowControl w:val="0"/>
        <w:kinsoku/>
        <w:wordWrap/>
        <w:overflowPunct/>
        <w:topLinePunct w:val="0"/>
        <w:autoSpaceDE/>
        <w:autoSpaceDN/>
        <w:bidi w:val="0"/>
        <w:adjustRightInd w:val="0"/>
        <w:snapToGrid w:val="0"/>
        <w:spacing w:after="0" w:line="520" w:lineRule="exact"/>
        <w:ind w:left="0" w:leftChars="0" w:firstLine="640" w:firstLineChars="200"/>
        <w:jc w:val="both"/>
        <w:textAlignment w:val="auto"/>
        <w:rPr>
          <w:rFonts w:hint="eastAsia" w:ascii="仿宋_GB2312" w:hAnsi="仿宋_GB2312" w:eastAsia="仿宋_GB2312" w:cs="仿宋_GB2312"/>
          <w:bCs/>
          <w:sz w:val="32"/>
          <w:szCs w:val="32"/>
          <w:highlight w:val="none"/>
          <w:lang w:val="en-US"/>
        </w:rPr>
      </w:pPr>
      <w:r>
        <w:rPr>
          <w:rFonts w:hint="eastAsia" w:ascii="仿宋_GB2312" w:hAnsi="仿宋_GB2312" w:eastAsia="仿宋_GB2312" w:cs="仿宋_GB2312"/>
          <w:bCs/>
          <w:sz w:val="32"/>
          <w:szCs w:val="32"/>
          <w:highlight w:val="none"/>
          <w:lang w:val="en-US" w:eastAsia="zh-CN"/>
        </w:rPr>
        <w:t xml:space="preserve">采 购 </w:t>
      </w:r>
      <w:r>
        <w:rPr>
          <w:rFonts w:hint="eastAsia" w:ascii="仿宋_GB2312" w:hAnsi="仿宋_GB2312" w:eastAsia="仿宋_GB2312" w:cs="仿宋_GB2312"/>
          <w:bCs/>
          <w:sz w:val="32"/>
          <w:szCs w:val="32"/>
          <w:highlight w:val="none"/>
        </w:rPr>
        <w:t>人：</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黄石市城发土地资产运营管理有限公司</w:t>
      </w:r>
    </w:p>
    <w:p>
      <w:pPr>
        <w:pStyle w:val="4"/>
        <w:keepNext w:val="0"/>
        <w:keepLines w:val="0"/>
        <w:pageBreakBefore w:val="0"/>
        <w:widowControl w:val="0"/>
        <w:kinsoku/>
        <w:wordWrap/>
        <w:overflowPunct/>
        <w:topLinePunct w:val="0"/>
        <w:autoSpaceDE/>
        <w:autoSpaceDN/>
        <w:bidi w:val="0"/>
        <w:adjustRightInd w:val="0"/>
        <w:snapToGrid w:val="0"/>
        <w:spacing w:after="0" w:line="520" w:lineRule="exact"/>
        <w:ind w:left="0" w:leftChars="0" w:firstLine="640" w:firstLineChars="200"/>
        <w:jc w:val="both"/>
        <w:textAlignment w:val="auto"/>
        <w:rPr>
          <w:rFonts w:hint="default" w:ascii="仿宋_GB2312" w:hAnsi="仿宋_GB2312" w:eastAsia="仿宋_GB2312" w:cs="仿宋_GB2312"/>
          <w:bCs/>
          <w:sz w:val="32"/>
          <w:szCs w:val="32"/>
          <w:highlight w:val="none"/>
          <w:lang w:val="en-US" w:eastAsia="zh-CN"/>
        </w:rPr>
      </w:pPr>
      <w:r>
        <w:rPr>
          <w:rFonts w:hint="eastAsia" w:ascii="仿宋_GB2312" w:hAnsi="仿宋_GB2312" w:eastAsia="仿宋_GB2312" w:cs="仿宋_GB2312"/>
          <w:bCs/>
          <w:sz w:val="32"/>
          <w:szCs w:val="32"/>
          <w:highlight w:val="none"/>
        </w:rPr>
        <w:t>联 系 人：</w:t>
      </w:r>
      <w:r>
        <w:rPr>
          <w:rFonts w:hint="eastAsia" w:ascii="仿宋_GB2312" w:hAnsi="仿宋_GB2312" w:eastAsia="仿宋_GB2312" w:cs="仿宋_GB2312"/>
          <w:bCs/>
          <w:sz w:val="32"/>
          <w:szCs w:val="32"/>
          <w:highlight w:val="none"/>
          <w:lang w:val="en-US" w:eastAsia="zh-CN"/>
        </w:rPr>
        <w:t>舒 工</w:t>
      </w:r>
    </w:p>
    <w:p>
      <w:pPr>
        <w:pStyle w:val="4"/>
        <w:keepNext w:val="0"/>
        <w:keepLines w:val="0"/>
        <w:pageBreakBefore w:val="0"/>
        <w:widowControl w:val="0"/>
        <w:kinsoku/>
        <w:wordWrap/>
        <w:overflowPunct/>
        <w:topLinePunct w:val="0"/>
        <w:autoSpaceDE/>
        <w:autoSpaceDN/>
        <w:bidi w:val="0"/>
        <w:adjustRightInd w:val="0"/>
        <w:snapToGrid w:val="0"/>
        <w:spacing w:after="0" w:line="520" w:lineRule="exact"/>
        <w:ind w:left="0" w:leftChars="0" w:firstLine="640" w:firstLineChars="200"/>
        <w:jc w:val="both"/>
        <w:textAlignment w:val="auto"/>
        <w:rPr>
          <w:rFonts w:hint="default" w:ascii="仿宋_GB2312" w:hAnsi="仿宋_GB2312" w:eastAsia="仿宋_GB2312" w:cs="仿宋_GB2312"/>
          <w:bCs/>
          <w:sz w:val="32"/>
          <w:szCs w:val="32"/>
          <w:highlight w:val="none"/>
          <w:lang w:val="en-US" w:eastAsia="zh-CN"/>
        </w:rPr>
      </w:pPr>
      <w:r>
        <w:rPr>
          <w:rFonts w:hint="eastAsia" w:ascii="仿宋_GB2312" w:hAnsi="仿宋_GB2312" w:eastAsia="仿宋_GB2312" w:cs="仿宋_GB2312"/>
          <w:bCs/>
          <w:sz w:val="32"/>
          <w:szCs w:val="32"/>
          <w:highlight w:val="none"/>
        </w:rPr>
        <w:t xml:space="preserve">电 </w:t>
      </w:r>
      <w:r>
        <w:rPr>
          <w:rFonts w:hint="eastAsia" w:ascii="仿宋_GB2312" w:hAnsi="仿宋_GB2312" w:eastAsia="仿宋_GB2312" w:cs="仿宋_GB2312"/>
          <w:bCs/>
          <w:sz w:val="32"/>
          <w:szCs w:val="32"/>
          <w:highlight w:val="none"/>
          <w:lang w:val="en-US" w:eastAsia="zh-CN"/>
        </w:rPr>
        <w:t xml:space="preserve">   </w:t>
      </w:r>
      <w:r>
        <w:rPr>
          <w:rFonts w:hint="eastAsia" w:ascii="仿宋_GB2312" w:hAnsi="仿宋_GB2312" w:eastAsia="仿宋_GB2312" w:cs="仿宋_GB2312"/>
          <w:bCs/>
          <w:sz w:val="32"/>
          <w:szCs w:val="32"/>
          <w:highlight w:val="none"/>
        </w:rPr>
        <w:t>话：</w:t>
      </w:r>
      <w:r>
        <w:rPr>
          <w:rFonts w:hint="eastAsia" w:ascii="仿宋_GB2312" w:hAnsi="仿宋_GB2312" w:eastAsia="仿宋_GB2312" w:cs="仿宋_GB2312"/>
          <w:bCs/>
          <w:sz w:val="32"/>
          <w:szCs w:val="32"/>
          <w:highlight w:val="none"/>
          <w:lang w:val="en-US" w:eastAsia="zh-CN"/>
        </w:rPr>
        <w:t>19872211890</w:t>
      </w:r>
    </w:p>
    <w:p>
      <w:pPr>
        <w:pStyle w:val="4"/>
        <w:keepNext w:val="0"/>
        <w:keepLines w:val="0"/>
        <w:pageBreakBefore w:val="0"/>
        <w:widowControl w:val="0"/>
        <w:kinsoku/>
        <w:wordWrap/>
        <w:overflowPunct/>
        <w:topLinePunct w:val="0"/>
        <w:autoSpaceDE/>
        <w:autoSpaceDN/>
        <w:bidi w:val="0"/>
        <w:adjustRightInd w:val="0"/>
        <w:snapToGrid w:val="0"/>
        <w:spacing w:after="0" w:line="520" w:lineRule="exact"/>
        <w:ind w:left="0" w:leftChars="0" w:firstLine="640" w:firstLineChars="200"/>
        <w:jc w:val="both"/>
        <w:textAlignment w:val="auto"/>
        <w:rPr>
          <w:rFonts w:hint="eastAsia" w:ascii="仿宋_GB2312" w:hAnsi="仿宋_GB2312" w:eastAsia="仿宋_GB2312" w:cs="仿宋_GB2312"/>
          <w:bCs/>
          <w:sz w:val="32"/>
          <w:szCs w:val="32"/>
          <w:highlight w:val="none"/>
          <w:lang w:val="en-US" w:eastAsia="zh-CN"/>
        </w:rPr>
      </w:pPr>
      <w:r>
        <w:rPr>
          <w:rFonts w:hint="eastAsia" w:ascii="仿宋_GB2312" w:hAnsi="仿宋_GB2312" w:eastAsia="仿宋_GB2312" w:cs="仿宋_GB2312"/>
          <w:bCs/>
          <w:sz w:val="32"/>
          <w:szCs w:val="32"/>
          <w:highlight w:val="non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420" w:firstLineChars="200"/>
        <w:textAlignment w:val="auto"/>
        <w:rPr>
          <w:rFonts w:hint="eastAsia" w:eastAsia="宋体" w:cs="宋体"/>
          <w:kern w:val="0"/>
          <w:sz w:val="21"/>
          <w:szCs w:val="21"/>
          <w:highlight w:val="none"/>
          <w:lang w:val="en-US" w:eastAsia="zh-CN" w:bidi="ar"/>
        </w:rPr>
      </w:pPr>
    </w:p>
    <w:p>
      <w:pPr>
        <w:keepNext w:val="0"/>
        <w:keepLines w:val="0"/>
        <w:pageBreakBefore w:val="0"/>
        <w:widowControl w:val="0"/>
        <w:kinsoku/>
        <w:wordWrap/>
        <w:overflowPunct/>
        <w:topLinePunct w:val="0"/>
        <w:autoSpaceDE/>
        <w:autoSpaceDN/>
        <w:bidi w:val="0"/>
        <w:spacing w:line="520" w:lineRule="exact"/>
        <w:textAlignment w:val="auto"/>
        <w:rPr>
          <w:rFonts w:hint="eastAsia" w:ascii="仿宋_GB2312" w:hAnsi="仿宋_GB2312" w:eastAsia="仿宋_GB2312" w:cs="仿宋_GB2312"/>
          <w:color w:val="FF0000"/>
          <w:kern w:val="0"/>
          <w:sz w:val="32"/>
          <w:szCs w:val="32"/>
          <w:lang w:val="en-US" w:eastAsia="zh-CN"/>
        </w:rPr>
      </w:pPr>
      <w:r>
        <w:rPr>
          <w:rFonts w:hint="eastAsia" w:eastAsia="宋体" w:cs="宋体"/>
          <w:kern w:val="0"/>
          <w:sz w:val="21"/>
          <w:szCs w:val="21"/>
          <w:highlight w:val="none"/>
          <w:lang w:val="en-US" w:eastAsia="zh-CN" w:bidi="ar"/>
        </w:rPr>
        <w:t xml:space="preserve">                              </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黄石市城发土地资产运营管理有限公司</w:t>
      </w:r>
    </w:p>
    <w:p>
      <w:pPr>
        <w:ind w:firstLine="4800" w:firstLineChars="1500"/>
        <w:rPr>
          <w:rFonts w:hint="eastAsia" w:ascii="仿宋_GB2312" w:hAnsi="仿宋_GB2312" w:eastAsia="仿宋_GB2312" w:cs="仿宋_GB2312"/>
          <w:color w:val="FF0000"/>
          <w:kern w:val="0"/>
          <w:sz w:val="32"/>
          <w:szCs w:val="32"/>
        </w:rPr>
      </w:pPr>
      <w:r>
        <w:rPr>
          <w:rFonts w:hint="eastAsia" w:ascii="仿宋_GB2312" w:hAnsi="仿宋_GB2312" w:eastAsia="仿宋_GB2312" w:cs="仿宋_GB2312"/>
          <w:color w:val="FF0000"/>
          <w:kern w:val="0"/>
          <w:sz w:val="32"/>
          <w:szCs w:val="32"/>
          <w:lang w:val="en-US" w:eastAsia="zh-CN"/>
        </w:rPr>
        <w:t>2024年3月5日</w:t>
      </w:r>
      <w:r>
        <w:rPr>
          <w:rFonts w:hint="eastAsia" w:ascii="仿宋_GB2312" w:hAnsi="仿宋_GB2312" w:eastAsia="仿宋_GB2312" w:cs="仿宋_GB2312"/>
          <w:color w:val="FF0000"/>
          <w:kern w:val="0"/>
          <w:sz w:val="32"/>
          <w:szCs w:val="32"/>
        </w:rPr>
        <w:t xml:space="preserve"> </w:t>
      </w:r>
    </w:p>
    <w:p>
      <w:pPr>
        <w:pStyle w:val="2"/>
        <w:rPr>
          <w:rFonts w:hint="eastAsia" w:ascii="仿宋_GB2312" w:hAnsi="仿宋_GB2312" w:eastAsia="仿宋_GB2312" w:cs="仿宋_GB2312"/>
          <w:kern w:val="0"/>
          <w:sz w:val="32"/>
          <w:szCs w:val="32"/>
        </w:rPr>
      </w:pPr>
    </w:p>
    <w:p>
      <w:pPr>
        <w:rPr>
          <w:rFonts w:hint="eastAsia" w:ascii="仿宋_GB2312" w:hAnsi="仿宋_GB2312" w:eastAsia="仿宋_GB2312" w:cs="仿宋_GB2312"/>
          <w:kern w:val="0"/>
          <w:sz w:val="32"/>
          <w:szCs w:val="32"/>
        </w:rPr>
      </w:pPr>
    </w:p>
    <w:p>
      <w:pPr>
        <w:pStyle w:val="2"/>
        <w:rPr>
          <w:rFonts w:hint="eastAsia" w:ascii="仿宋_GB2312" w:hAnsi="仿宋_GB2312" w:eastAsia="仿宋_GB2312" w:cs="仿宋_GB2312"/>
          <w:kern w:val="0"/>
          <w:sz w:val="32"/>
          <w:szCs w:val="32"/>
        </w:rPr>
      </w:pPr>
    </w:p>
    <w:p>
      <w:pPr>
        <w:rPr>
          <w:rFonts w:hint="eastAsia" w:ascii="仿宋_GB2312" w:hAnsi="仿宋_GB2312" w:eastAsia="仿宋_GB2312" w:cs="仿宋_GB2312"/>
          <w:kern w:val="0"/>
          <w:sz w:val="32"/>
          <w:szCs w:val="32"/>
        </w:rPr>
      </w:pPr>
    </w:p>
    <w:p>
      <w:pPr>
        <w:pStyle w:val="2"/>
        <w:rPr>
          <w:rFonts w:hint="eastAsia" w:ascii="仿宋_GB2312" w:hAnsi="仿宋_GB2312" w:eastAsia="仿宋_GB2312" w:cs="仿宋_GB2312"/>
          <w:kern w:val="0"/>
          <w:sz w:val="32"/>
          <w:szCs w:val="32"/>
        </w:rPr>
      </w:pPr>
    </w:p>
    <w:p>
      <w:pPr>
        <w:rPr>
          <w:rFonts w:hint="eastAsia" w:ascii="仿宋_GB2312" w:hAnsi="仿宋_GB2312" w:eastAsia="仿宋_GB2312" w:cs="仿宋_GB2312"/>
          <w:kern w:val="0"/>
          <w:sz w:val="32"/>
          <w:szCs w:val="32"/>
        </w:rPr>
      </w:pPr>
    </w:p>
    <w:p>
      <w:pPr>
        <w:pStyle w:val="2"/>
        <w:rPr>
          <w:rFonts w:hint="eastAsia" w:ascii="仿宋_GB2312" w:hAnsi="仿宋_GB2312" w:eastAsia="仿宋_GB2312" w:cs="仿宋_GB2312"/>
          <w:kern w:val="0"/>
          <w:sz w:val="32"/>
          <w:szCs w:val="32"/>
        </w:rPr>
      </w:pPr>
    </w:p>
    <w:p>
      <w:pPr>
        <w:rPr>
          <w:rFonts w:hint="eastAsia" w:ascii="仿宋_GB2312" w:hAnsi="仿宋_GB2312" w:eastAsia="仿宋_GB2312" w:cs="仿宋_GB2312"/>
          <w:kern w:val="0"/>
          <w:sz w:val="32"/>
          <w:szCs w:val="32"/>
        </w:rPr>
      </w:pPr>
    </w:p>
    <w:p>
      <w:pPr>
        <w:pStyle w:val="2"/>
        <w:rPr>
          <w:rFonts w:hint="eastAsia" w:ascii="仿宋_GB2312" w:hAnsi="仿宋_GB2312" w:eastAsia="仿宋_GB2312" w:cs="仿宋_GB2312"/>
          <w:kern w:val="0"/>
          <w:sz w:val="32"/>
          <w:szCs w:val="32"/>
        </w:rPr>
      </w:pPr>
    </w:p>
    <w:p>
      <w:pPr>
        <w:rPr>
          <w:rFonts w:hint="eastAsia" w:ascii="仿宋_GB2312" w:hAnsi="仿宋_GB2312" w:eastAsia="仿宋_GB2312" w:cs="仿宋_GB2312"/>
          <w:kern w:val="0"/>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left="0" w:leftChars="0"/>
        <w:jc w:val="center"/>
        <w:textAlignment w:val="auto"/>
        <w:outlineLvl w:val="0"/>
        <w:rPr>
          <w:rFonts w:hint="eastAsia" w:ascii="方正小标宋简体" w:hAnsi="方正小标宋简体" w:eastAsia="方正小标宋简体" w:cs="方正小标宋简体"/>
          <w:b w:val="0"/>
          <w:bCs w:val="0"/>
          <w:sz w:val="44"/>
          <w:szCs w:val="44"/>
          <w:lang w:val="en-US" w:eastAsia="zh-CN"/>
        </w:rPr>
      </w:pPr>
      <w:bookmarkStart w:id="19" w:name="_Toc9385"/>
      <w:bookmarkStart w:id="20" w:name="_Toc28270"/>
    </w:p>
    <w:bookmarkEnd w:id="19"/>
    <w:bookmarkEnd w:id="20"/>
    <w:p>
      <w:pPr>
        <w:adjustRightInd w:val="0"/>
        <w:snapToGrid w:val="0"/>
        <w:spacing w:line="400" w:lineRule="exact"/>
        <w:outlineLvl w:val="0"/>
        <w:rPr>
          <w:rFonts w:hint="eastAsia" w:ascii="黑体" w:hAnsi="黑体" w:eastAsia="黑体" w:cs="黑体"/>
          <w:sz w:val="32"/>
          <w:szCs w:val="32"/>
        </w:rPr>
      </w:pPr>
      <w:bookmarkStart w:id="21" w:name="_Toc17281"/>
      <w:bookmarkStart w:id="22" w:name="_Toc11679"/>
    </w:p>
    <w:p>
      <w:pPr>
        <w:adjustRightInd w:val="0"/>
        <w:snapToGrid w:val="0"/>
        <w:spacing w:line="400" w:lineRule="exact"/>
        <w:outlineLvl w:val="0"/>
        <w:rPr>
          <w:rFonts w:hint="eastAsia" w:ascii="黑体" w:hAnsi="黑体" w:eastAsia="黑体" w:cs="黑体"/>
          <w:sz w:val="32"/>
          <w:szCs w:val="32"/>
        </w:rPr>
      </w:pPr>
      <w:r>
        <w:rPr>
          <w:rFonts w:hint="eastAsia" w:ascii="黑体" w:hAnsi="黑体" w:eastAsia="黑体" w:cs="黑体"/>
          <w:sz w:val="32"/>
          <w:szCs w:val="32"/>
        </w:rPr>
        <w:t>附件1</w:t>
      </w:r>
      <w:bookmarkEnd w:id="21"/>
      <w:bookmarkEnd w:id="22"/>
    </w:p>
    <w:p>
      <w:pPr>
        <w:adjustRightInd w:val="0"/>
        <w:snapToGrid w:val="0"/>
        <w:spacing w:line="400" w:lineRule="exact"/>
        <w:rPr>
          <w:rFonts w:ascii="仿宋_GB2312" w:hAnsi="仿宋" w:eastAsia="仿宋_GB2312" w:cs="仿宋"/>
          <w:sz w:val="21"/>
          <w:szCs w:val="21"/>
        </w:rPr>
      </w:pPr>
    </w:p>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报  价  表</w:t>
      </w:r>
    </w:p>
    <w:p>
      <w:pPr>
        <w:adjustRightInd w:val="0"/>
        <w:snapToGrid w:val="0"/>
        <w:spacing w:line="400" w:lineRule="exact"/>
        <w:rPr>
          <w:rFonts w:hint="eastAsia" w:ascii="仿宋_GB2312" w:hAnsi="仿宋" w:eastAsia="仿宋_GB2312" w:cs="仿宋"/>
          <w:sz w:val="32"/>
          <w:szCs w:val="32"/>
        </w:rPr>
      </w:pPr>
    </w:p>
    <w:p>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ascii="仿宋_GB2312" w:hAnsi="仿宋" w:eastAsia="仿宋_GB2312" w:cs="仿宋"/>
          <w:sz w:val="32"/>
          <w:szCs w:val="32"/>
        </w:rPr>
      </w:pPr>
      <w:r>
        <w:rPr>
          <w:rFonts w:hint="eastAsia" w:ascii="仿宋_GB2312" w:hAnsi="仿宋" w:eastAsia="仿宋_GB2312" w:cs="仿宋"/>
          <w:sz w:val="32"/>
          <w:szCs w:val="32"/>
        </w:rPr>
        <w:t>项目名称：</w:t>
      </w:r>
      <w:r>
        <w:rPr>
          <w:rFonts w:hint="eastAsia" w:ascii="仿宋_GB2312" w:hAnsi="仿宋_GB2312" w:eastAsia="仿宋_GB2312" w:cs="仿宋_GB2312"/>
          <w:color w:val="000000" w:themeColor="text1"/>
          <w:sz w:val="32"/>
          <w:szCs w:val="32"/>
          <w14:textFill>
            <w14:solidFill>
              <w14:schemeClr w14:val="tx1"/>
            </w14:solidFill>
          </w14:textFill>
        </w:rPr>
        <w:t>夏家山加工厂地块固定资产市场价值评估</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项目</w:t>
      </w:r>
    </w:p>
    <w:tbl>
      <w:tblPr>
        <w:tblStyle w:val="13"/>
        <w:tblW w:w="938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132"/>
        <w:gridCol w:w="2681"/>
        <w:gridCol w:w="25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1" w:hRule="atLeast"/>
          <w:jc w:val="center"/>
        </w:trPr>
        <w:tc>
          <w:tcPr>
            <w:tcW w:w="4132" w:type="dxa"/>
            <w:vAlign w:val="center"/>
          </w:tcPr>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eastAsia" w:ascii="仿宋_GB2312" w:hAnsi="仿宋" w:eastAsia="仿宋_GB2312" w:cs="仿宋"/>
                <w:sz w:val="32"/>
                <w:szCs w:val="32"/>
              </w:rPr>
            </w:pPr>
            <w:r>
              <w:rPr>
                <w:rFonts w:hint="eastAsia" w:ascii="仿宋_GB2312" w:hAnsi="仿宋" w:eastAsia="仿宋_GB2312" w:cs="仿宋"/>
                <w:sz w:val="32"/>
                <w:szCs w:val="32"/>
              </w:rPr>
              <w:t>项目名称</w:t>
            </w:r>
          </w:p>
        </w:tc>
        <w:tc>
          <w:tcPr>
            <w:tcW w:w="2681" w:type="dxa"/>
            <w:vAlign w:val="center"/>
          </w:tcPr>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eastAsia" w:ascii="仿宋_GB2312" w:hAnsi="仿宋" w:eastAsia="仿宋_GB2312" w:cs="仿宋"/>
                <w:sz w:val="32"/>
                <w:szCs w:val="32"/>
              </w:rPr>
            </w:pPr>
            <w:r>
              <w:rPr>
                <w:rFonts w:hint="eastAsia" w:ascii="仿宋_GB2312" w:hAnsi="仿宋" w:eastAsia="仿宋_GB2312" w:cs="仿宋"/>
                <w:sz w:val="32"/>
                <w:szCs w:val="32"/>
              </w:rPr>
              <w:t>报价（万元）</w:t>
            </w:r>
          </w:p>
        </w:tc>
        <w:tc>
          <w:tcPr>
            <w:tcW w:w="2575" w:type="dxa"/>
            <w:vAlign w:val="center"/>
          </w:tcPr>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eastAsia" w:ascii="仿宋_GB2312" w:hAnsi="仿宋" w:eastAsia="仿宋_GB2312" w:cs="仿宋"/>
                <w:sz w:val="32"/>
                <w:szCs w:val="32"/>
              </w:rPr>
            </w:pPr>
            <w:r>
              <w:rPr>
                <w:rFonts w:hint="eastAsia" w:ascii="仿宋_GB2312" w:hAnsi="仿宋" w:eastAsia="仿宋_GB2312" w:cs="仿宋"/>
                <w:sz w:val="32"/>
                <w:szCs w:val="32"/>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0" w:hRule="atLeast"/>
          <w:jc w:val="center"/>
        </w:trPr>
        <w:tc>
          <w:tcPr>
            <w:tcW w:w="4132" w:type="dxa"/>
            <w:vAlign w:val="center"/>
          </w:tcPr>
          <w:p>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eastAsia" w:ascii="仿宋_GB2312" w:hAnsi="仿宋" w:eastAsia="仿宋_GB2312" w:cs="仿宋"/>
                <w:sz w:val="32"/>
                <w:szCs w:val="32"/>
                <w:lang w:val="en-US" w:eastAsia="zh-CN"/>
              </w:rPr>
            </w:pPr>
            <w:r>
              <w:rPr>
                <w:rFonts w:hint="eastAsia" w:ascii="仿宋_GB2312" w:hAnsi="仿宋_GB2312" w:eastAsia="仿宋_GB2312" w:cs="仿宋_GB2312"/>
                <w:color w:val="000000" w:themeColor="text1"/>
                <w:sz w:val="32"/>
                <w:szCs w:val="32"/>
                <w14:textFill>
                  <w14:solidFill>
                    <w14:schemeClr w14:val="tx1"/>
                  </w14:solidFill>
                </w14:textFill>
              </w:rPr>
              <w:t>夏家山加工厂地块固定资产市场价值评估</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项目</w:t>
            </w:r>
          </w:p>
        </w:tc>
        <w:tc>
          <w:tcPr>
            <w:tcW w:w="2681" w:type="dxa"/>
            <w:vAlign w:val="center"/>
          </w:tcPr>
          <w:p>
            <w:pPr>
              <w:adjustRightInd w:val="0"/>
              <w:snapToGrid w:val="0"/>
              <w:spacing w:line="400" w:lineRule="exact"/>
              <w:rPr>
                <w:rFonts w:ascii="仿宋_GB2312" w:hAnsi="仿宋" w:eastAsia="仿宋_GB2312" w:cs="仿宋"/>
                <w:sz w:val="32"/>
                <w:szCs w:val="32"/>
              </w:rPr>
            </w:pPr>
          </w:p>
        </w:tc>
        <w:tc>
          <w:tcPr>
            <w:tcW w:w="2575" w:type="dxa"/>
            <w:vAlign w:val="center"/>
          </w:tcPr>
          <w:p>
            <w:pPr>
              <w:adjustRightInd w:val="0"/>
              <w:snapToGrid w:val="0"/>
              <w:spacing w:line="400" w:lineRule="exact"/>
              <w:rPr>
                <w:rFonts w:ascii="仿宋_GB2312" w:hAnsi="仿宋" w:eastAsia="仿宋_GB2312" w:cs="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7" w:hRule="atLeast"/>
          <w:jc w:val="center"/>
        </w:trPr>
        <w:tc>
          <w:tcPr>
            <w:tcW w:w="4132" w:type="dxa"/>
            <w:vAlign w:val="center"/>
          </w:tcPr>
          <w:p>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eastAsia" w:ascii="仿宋_GB2312" w:hAnsi="仿宋" w:eastAsia="仿宋_GB2312" w:cs="仿宋"/>
                <w:sz w:val="32"/>
                <w:szCs w:val="32"/>
              </w:rPr>
            </w:pPr>
            <w:r>
              <w:rPr>
                <w:rFonts w:hint="eastAsia" w:ascii="仿宋_GB2312" w:hAnsi="仿宋" w:eastAsia="仿宋_GB2312" w:cs="仿宋"/>
                <w:sz w:val="32"/>
                <w:szCs w:val="32"/>
              </w:rPr>
              <w:t>大写</w:t>
            </w:r>
          </w:p>
        </w:tc>
        <w:tc>
          <w:tcPr>
            <w:tcW w:w="5256" w:type="dxa"/>
            <w:gridSpan w:val="2"/>
            <w:vAlign w:val="center"/>
          </w:tcPr>
          <w:p>
            <w:pPr>
              <w:adjustRightInd w:val="0"/>
              <w:snapToGrid w:val="0"/>
              <w:spacing w:line="400" w:lineRule="exact"/>
              <w:rPr>
                <w:rFonts w:ascii="仿宋_GB2312" w:hAnsi="仿宋" w:eastAsia="仿宋_GB2312" w:cs="仿宋"/>
                <w:sz w:val="32"/>
                <w:szCs w:val="32"/>
              </w:rPr>
            </w:pPr>
          </w:p>
        </w:tc>
      </w:tr>
    </w:tbl>
    <w:p>
      <w:pPr>
        <w:adjustRightInd w:val="0"/>
        <w:snapToGrid w:val="0"/>
        <w:spacing w:line="400" w:lineRule="exact"/>
        <w:rPr>
          <w:rFonts w:ascii="仿宋_GB2312" w:hAnsi="仿宋" w:eastAsia="仿宋_GB2312" w:cs="仿宋"/>
          <w:sz w:val="32"/>
          <w:szCs w:val="32"/>
        </w:rPr>
      </w:pPr>
    </w:p>
    <w:p>
      <w:pPr>
        <w:adjustRightInd w:val="0"/>
        <w:snapToGrid w:val="0"/>
        <w:spacing w:line="400" w:lineRule="exact"/>
        <w:rPr>
          <w:rFonts w:ascii="仿宋_GB2312" w:hAnsi="仿宋" w:eastAsia="仿宋_GB2312" w:cs="仿宋"/>
          <w:sz w:val="32"/>
          <w:szCs w:val="32"/>
        </w:rPr>
      </w:pPr>
    </w:p>
    <w:p>
      <w:pPr>
        <w:adjustRightInd w:val="0"/>
        <w:snapToGrid w:val="0"/>
        <w:spacing w:line="400" w:lineRule="exact"/>
        <w:rPr>
          <w:rFonts w:ascii="仿宋_GB2312" w:hAnsi="仿宋" w:eastAsia="仿宋_GB2312" w:cs="仿宋"/>
          <w:sz w:val="32"/>
          <w:szCs w:val="32"/>
        </w:rPr>
      </w:pPr>
      <w:r>
        <w:rPr>
          <w:rFonts w:hint="eastAsia" w:ascii="仿宋_GB2312" w:hAnsi="仿宋" w:eastAsia="仿宋_GB2312" w:cs="仿宋"/>
          <w:sz w:val="32"/>
          <w:szCs w:val="32"/>
        </w:rPr>
        <w:t>参与报价单位（盖章）：</w:t>
      </w:r>
    </w:p>
    <w:p>
      <w:pPr>
        <w:adjustRightInd w:val="0"/>
        <w:snapToGrid w:val="0"/>
        <w:spacing w:line="400" w:lineRule="exact"/>
        <w:rPr>
          <w:rFonts w:ascii="仿宋_GB2312" w:hAnsi="仿宋" w:eastAsia="仿宋_GB2312" w:cs="仿宋"/>
          <w:sz w:val="32"/>
          <w:szCs w:val="32"/>
        </w:rPr>
      </w:pPr>
    </w:p>
    <w:p>
      <w:pPr>
        <w:adjustRightInd w:val="0"/>
        <w:snapToGrid w:val="0"/>
        <w:spacing w:line="400" w:lineRule="exact"/>
        <w:rPr>
          <w:rFonts w:hint="eastAsia" w:ascii="仿宋_GB2312" w:hAnsi="仿宋" w:eastAsia="仿宋_GB2312" w:cs="仿宋"/>
          <w:sz w:val="32"/>
          <w:szCs w:val="32"/>
        </w:rPr>
      </w:pPr>
    </w:p>
    <w:p>
      <w:pPr>
        <w:adjustRightInd w:val="0"/>
        <w:snapToGrid w:val="0"/>
        <w:spacing w:line="400" w:lineRule="exact"/>
        <w:rPr>
          <w:rFonts w:ascii="仿宋_GB2312" w:hAnsi="仿宋" w:eastAsia="仿宋_GB2312" w:cs="仿宋"/>
          <w:sz w:val="32"/>
          <w:szCs w:val="32"/>
        </w:rPr>
      </w:pPr>
      <w:r>
        <w:rPr>
          <w:rFonts w:hint="eastAsia" w:ascii="仿宋_GB2312" w:hAnsi="仿宋" w:eastAsia="仿宋_GB2312" w:cs="仿宋"/>
          <w:sz w:val="32"/>
          <w:szCs w:val="32"/>
        </w:rPr>
        <w:t>法定代表人或其委托代理人（签字）：</w:t>
      </w:r>
    </w:p>
    <w:p>
      <w:pPr>
        <w:adjustRightInd w:val="0"/>
        <w:snapToGrid w:val="0"/>
        <w:spacing w:line="400" w:lineRule="exact"/>
        <w:rPr>
          <w:rFonts w:ascii="仿宋_GB2312" w:hAnsi="仿宋" w:eastAsia="仿宋_GB2312" w:cs="仿宋"/>
          <w:sz w:val="32"/>
          <w:szCs w:val="32"/>
        </w:rPr>
      </w:pPr>
    </w:p>
    <w:p>
      <w:pPr>
        <w:adjustRightInd w:val="0"/>
        <w:snapToGrid w:val="0"/>
        <w:spacing w:line="400" w:lineRule="exact"/>
        <w:rPr>
          <w:rFonts w:hint="eastAsia" w:ascii="仿宋_GB2312" w:hAnsi="仿宋" w:eastAsia="仿宋_GB2312" w:cs="仿宋"/>
          <w:sz w:val="32"/>
          <w:szCs w:val="32"/>
        </w:rPr>
      </w:pPr>
    </w:p>
    <w:p>
      <w:pPr>
        <w:adjustRightInd w:val="0"/>
        <w:snapToGrid w:val="0"/>
        <w:spacing w:line="400" w:lineRule="exact"/>
        <w:rPr>
          <w:rFonts w:ascii="仿宋_GB2312" w:hAnsi="仿宋" w:eastAsia="仿宋_GB2312" w:cs="仿宋"/>
          <w:sz w:val="21"/>
          <w:szCs w:val="21"/>
        </w:rPr>
      </w:pPr>
      <w:r>
        <w:rPr>
          <w:rFonts w:hint="eastAsia" w:ascii="仿宋_GB2312" w:hAnsi="仿宋" w:eastAsia="仿宋_GB2312" w:cs="仿宋"/>
          <w:sz w:val="32"/>
          <w:szCs w:val="32"/>
        </w:rPr>
        <w:t>年    月   日</w:t>
      </w:r>
    </w:p>
    <w:p>
      <w:pPr>
        <w:keepNext w:val="0"/>
        <w:keepLines w:val="0"/>
        <w:pageBreakBefore w:val="0"/>
        <w:widowControl w:val="0"/>
        <w:kinsoku/>
        <w:wordWrap/>
        <w:overflowPunct/>
        <w:topLinePunct w:val="0"/>
        <w:autoSpaceDE/>
        <w:autoSpaceDN/>
        <w:bidi w:val="0"/>
        <w:spacing w:line="520" w:lineRule="exact"/>
        <w:textAlignment w:val="auto"/>
        <w:outlineLvl w:val="9"/>
        <w:rPr>
          <w:rFonts w:hint="eastAsia" w:ascii="仿宋_GB2312" w:hAnsi="仿宋_GB2312" w:eastAsia="仿宋_GB2312" w:cs="仿宋_GB2312"/>
          <w:kern w:val="0"/>
          <w:sz w:val="32"/>
          <w:szCs w:val="32"/>
          <w:lang w:val="en-US" w:eastAsia="zh-CN"/>
        </w:rPr>
        <w:sectPr>
          <w:footerReference r:id="rId3" w:type="default"/>
          <w:pgSz w:w="11906" w:h="16838"/>
          <w:pgMar w:top="1701" w:right="1134" w:bottom="1134" w:left="1474" w:header="851" w:footer="992" w:gutter="0"/>
          <w:cols w:space="425" w:num="1"/>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560" w:lineRule="exact"/>
        <w:textAlignment w:val="auto"/>
        <w:outlineLvl w:val="0"/>
        <w:rPr>
          <w:rFonts w:hint="eastAsia" w:ascii="黑体" w:hAnsi="黑体" w:eastAsia="黑体" w:cs="黑体"/>
          <w:sz w:val="32"/>
          <w:szCs w:val="32"/>
        </w:rPr>
      </w:pPr>
      <w:bookmarkStart w:id="23" w:name="_Toc6389"/>
      <w:bookmarkStart w:id="24" w:name="_Toc6344"/>
      <w:r>
        <w:rPr>
          <w:rFonts w:hint="eastAsia" w:ascii="黑体" w:hAnsi="黑体" w:eastAsia="黑体" w:cs="黑体"/>
          <w:sz w:val="32"/>
          <w:szCs w:val="32"/>
        </w:rPr>
        <w:t>附件2</w:t>
      </w:r>
      <w:bookmarkEnd w:id="23"/>
      <w:bookmarkEnd w:id="24"/>
      <w:r>
        <w:rPr>
          <w:rFonts w:hint="eastAsia" w:ascii="黑体" w:hAnsi="黑体" w:eastAsia="黑体" w:cs="黑体"/>
          <w:sz w:val="32"/>
          <w:szCs w:val="32"/>
        </w:rPr>
        <w:t xml:space="preserve"> </w:t>
      </w:r>
    </w:p>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eastAsia" w:ascii="方正小标宋简体" w:hAnsi="方正小标宋简体" w:eastAsia="方正小标宋简体" w:cs="方正小标宋简体"/>
          <w:sz w:val="44"/>
          <w:szCs w:val="44"/>
        </w:rPr>
      </w:pPr>
    </w:p>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outlineLvl w:val="0"/>
        <w:rPr>
          <w:rFonts w:hint="eastAsia" w:ascii="方正小标宋简体" w:hAnsi="方正小标宋简体" w:eastAsia="方正小标宋简体" w:cs="方正小标宋简体"/>
          <w:sz w:val="44"/>
          <w:szCs w:val="44"/>
        </w:rPr>
      </w:pPr>
      <w:bookmarkStart w:id="25" w:name="_Toc6559"/>
      <w:bookmarkStart w:id="26" w:name="_Toc386"/>
      <w:r>
        <w:rPr>
          <w:rFonts w:hint="eastAsia" w:ascii="方正小标宋简体" w:hAnsi="方正小标宋简体" w:eastAsia="方正小标宋简体" w:cs="方正小标宋简体"/>
          <w:sz w:val="44"/>
          <w:szCs w:val="44"/>
        </w:rPr>
        <w:t>法定代表人授权委托书</w:t>
      </w:r>
      <w:bookmarkEnd w:id="25"/>
      <w:bookmarkEnd w:id="26"/>
    </w:p>
    <w:p>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ascii="仿宋_GB2312" w:hAnsi="仿宋" w:eastAsia="仿宋_GB2312" w:cs="仿宋"/>
          <w:sz w:val="32"/>
          <w:szCs w:val="32"/>
        </w:rPr>
      </w:pP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仿宋_GB2312" w:hAnsi="仿宋" w:eastAsia="仿宋_GB2312" w:cs="仿宋"/>
          <w:sz w:val="32"/>
          <w:szCs w:val="32"/>
        </w:rPr>
      </w:pPr>
      <w:r>
        <w:rPr>
          <w:rFonts w:hint="eastAsia" w:ascii="仿宋_GB2312" w:hAnsi="仿宋" w:eastAsia="仿宋_GB2312" w:cs="仿宋"/>
          <w:sz w:val="32"/>
          <w:szCs w:val="32"/>
        </w:rPr>
        <w:t>本授权委托书声明：我</w:t>
      </w:r>
      <w:r>
        <w:rPr>
          <w:rFonts w:hint="eastAsia" w:ascii="仿宋_GB2312" w:hAnsi="仿宋" w:eastAsia="仿宋_GB2312" w:cs="仿宋"/>
          <w:sz w:val="32"/>
          <w:szCs w:val="32"/>
          <w:u w:val="single"/>
        </w:rPr>
        <w:t xml:space="preserve">   （姓名）</w:t>
      </w:r>
      <w:r>
        <w:rPr>
          <w:rFonts w:hint="eastAsia" w:ascii="仿宋_GB2312" w:hAnsi="仿宋" w:eastAsia="仿宋_GB2312" w:cs="仿宋"/>
          <w:sz w:val="32"/>
          <w:szCs w:val="32"/>
        </w:rPr>
        <w:t>系</w:t>
      </w:r>
      <w:r>
        <w:rPr>
          <w:rFonts w:hint="eastAsia" w:ascii="仿宋_GB2312" w:hAnsi="仿宋" w:eastAsia="仿宋_GB2312" w:cs="仿宋"/>
          <w:sz w:val="32"/>
          <w:szCs w:val="32"/>
          <w:u w:val="single"/>
        </w:rPr>
        <w:t xml:space="preserve">    （响应人）    </w:t>
      </w:r>
      <w:r>
        <w:rPr>
          <w:rFonts w:hint="eastAsia" w:ascii="仿宋_GB2312" w:hAnsi="仿宋" w:eastAsia="仿宋_GB2312" w:cs="仿宋"/>
          <w:sz w:val="32"/>
          <w:szCs w:val="32"/>
        </w:rPr>
        <w:t>的法定代表人，现授权委托</w:t>
      </w:r>
      <w:r>
        <w:rPr>
          <w:rFonts w:hint="eastAsia" w:ascii="仿宋_GB2312" w:hAnsi="仿宋" w:eastAsia="仿宋_GB2312" w:cs="仿宋"/>
          <w:sz w:val="32"/>
          <w:szCs w:val="32"/>
          <w:u w:val="single"/>
        </w:rPr>
        <w:t xml:space="preserve"> （姓名）       </w:t>
      </w:r>
      <w:r>
        <w:rPr>
          <w:rFonts w:hint="eastAsia" w:ascii="仿宋_GB2312" w:hAnsi="仿宋" w:eastAsia="仿宋_GB2312" w:cs="仿宋"/>
          <w:sz w:val="32"/>
          <w:szCs w:val="32"/>
        </w:rPr>
        <w:t>为我的代理人，以本公司/单位的名义参加</w:t>
      </w:r>
      <w:r>
        <w:rPr>
          <w:rFonts w:hint="eastAsia" w:ascii="仿宋_GB2312" w:hAnsi="仿宋" w:eastAsia="仿宋_GB2312" w:cs="仿宋"/>
          <w:sz w:val="32"/>
          <w:szCs w:val="32"/>
          <w:u w:val="single"/>
        </w:rPr>
        <w:t xml:space="preserve">   （采购人） </w:t>
      </w:r>
      <w:r>
        <w:rPr>
          <w:rFonts w:hint="eastAsia" w:ascii="仿宋_GB2312" w:hAnsi="仿宋" w:eastAsia="仿宋_GB2312" w:cs="仿宋"/>
          <w:sz w:val="32"/>
          <w:szCs w:val="32"/>
        </w:rPr>
        <w:t>的</w:t>
      </w:r>
      <w:r>
        <w:rPr>
          <w:rFonts w:hint="eastAsia" w:ascii="仿宋_GB2312" w:hAnsi="仿宋" w:eastAsia="仿宋_GB2312" w:cs="仿宋"/>
          <w:sz w:val="32"/>
          <w:szCs w:val="32"/>
          <w:u w:val="single"/>
        </w:rPr>
        <w:t xml:space="preserve"> （项目名称）      </w:t>
      </w:r>
      <w:r>
        <w:rPr>
          <w:rFonts w:hint="eastAsia" w:ascii="仿宋_GB2312" w:hAnsi="仿宋" w:eastAsia="仿宋_GB2312" w:cs="仿宋"/>
          <w:sz w:val="32"/>
          <w:szCs w:val="32"/>
        </w:rPr>
        <w:t>的投标。授权委托人在询价、合同谈判过程中所签署的一切文件和处理与之有关的一切事务，我均予以承认。</w:t>
      </w:r>
    </w:p>
    <w:p>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ascii="仿宋_GB2312" w:hAnsi="仿宋" w:eastAsia="仿宋_GB2312" w:cs="仿宋"/>
          <w:sz w:val="32"/>
          <w:szCs w:val="32"/>
        </w:rPr>
      </w:pPr>
      <w:r>
        <w:rPr>
          <w:rFonts w:hint="eastAsia" w:ascii="仿宋_GB2312" w:hAnsi="仿宋" w:eastAsia="仿宋_GB2312" w:cs="仿宋"/>
          <w:sz w:val="32"/>
          <w:szCs w:val="32"/>
        </w:rPr>
        <w:t xml:space="preserve">    代理人无转委托权，特此委托。</w:t>
      </w:r>
    </w:p>
    <w:p>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ascii="仿宋_GB2312" w:hAnsi="仿宋" w:eastAsia="仿宋_GB2312" w:cs="仿宋"/>
          <w:sz w:val="32"/>
          <w:szCs w:val="32"/>
        </w:rPr>
      </w:pPr>
      <w:r>
        <w:rPr>
          <w:rFonts w:hint="eastAsia" w:ascii="仿宋_GB2312" w:hAnsi="仿宋" w:eastAsia="仿宋_GB2312" w:cs="仿宋"/>
          <w:sz w:val="32"/>
          <w:szCs w:val="32"/>
        </w:rPr>
        <w:t xml:space="preserve">    供应商（盖章）：                                   </w:t>
      </w:r>
    </w:p>
    <w:p>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ascii="仿宋_GB2312" w:hAnsi="仿宋" w:eastAsia="仿宋_GB2312" w:cs="仿宋"/>
          <w:sz w:val="32"/>
          <w:szCs w:val="32"/>
        </w:rPr>
      </w:pPr>
      <w:r>
        <w:rPr>
          <w:rFonts w:hint="eastAsia" w:ascii="仿宋_GB2312" w:hAnsi="仿宋" w:eastAsia="仿宋_GB2312" w:cs="仿宋"/>
          <w:sz w:val="32"/>
          <w:szCs w:val="32"/>
        </w:rPr>
        <w:t xml:space="preserve">    法定代表人（盖章/签字）：                               </w:t>
      </w:r>
    </w:p>
    <w:p>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ascii="仿宋_GB2312" w:hAnsi="仿宋" w:eastAsia="仿宋_GB2312" w:cs="仿宋"/>
          <w:sz w:val="32"/>
          <w:szCs w:val="32"/>
          <w:u w:val="single"/>
        </w:rPr>
      </w:pPr>
      <w:r>
        <w:rPr>
          <w:rFonts w:hint="eastAsia" w:ascii="仿宋_GB2312" w:hAnsi="仿宋" w:eastAsia="仿宋_GB2312" w:cs="仿宋"/>
          <w:sz w:val="32"/>
          <w:szCs w:val="32"/>
        </w:rPr>
        <w:t xml:space="preserve">    代理人：</w:t>
      </w:r>
      <w:r>
        <w:rPr>
          <w:rFonts w:hint="eastAsia" w:ascii="仿宋_GB2312" w:hAnsi="仿宋" w:eastAsia="仿宋_GB2312" w:cs="仿宋"/>
          <w:sz w:val="32"/>
          <w:szCs w:val="32"/>
          <w:u w:val="single"/>
        </w:rPr>
        <w:t xml:space="preserve">             </w:t>
      </w:r>
      <w:r>
        <w:rPr>
          <w:rFonts w:hint="eastAsia" w:ascii="仿宋_GB2312" w:hAnsi="仿宋" w:eastAsia="仿宋_GB2312" w:cs="仿宋"/>
          <w:sz w:val="32"/>
          <w:szCs w:val="32"/>
        </w:rPr>
        <w:t xml:space="preserve"> 性别：</w:t>
      </w:r>
      <w:r>
        <w:rPr>
          <w:rFonts w:hint="eastAsia" w:ascii="仿宋_GB2312" w:hAnsi="仿宋" w:eastAsia="仿宋_GB2312" w:cs="仿宋"/>
          <w:sz w:val="32"/>
          <w:szCs w:val="32"/>
          <w:u w:val="single"/>
        </w:rPr>
        <w:t xml:space="preserve">       </w:t>
      </w:r>
      <w:r>
        <w:rPr>
          <w:rFonts w:hint="eastAsia" w:ascii="仿宋_GB2312" w:hAnsi="仿宋" w:eastAsia="仿宋_GB2312" w:cs="仿宋"/>
          <w:sz w:val="32"/>
          <w:szCs w:val="32"/>
        </w:rPr>
        <w:t xml:space="preserve"> 年龄：</w:t>
      </w:r>
      <w:r>
        <w:rPr>
          <w:rFonts w:hint="eastAsia" w:ascii="仿宋_GB2312" w:hAnsi="仿宋" w:eastAsia="仿宋_GB2312" w:cs="仿宋"/>
          <w:sz w:val="32"/>
          <w:szCs w:val="32"/>
          <w:u w:val="single"/>
        </w:rPr>
        <w:t xml:space="preserve">        </w:t>
      </w:r>
    </w:p>
    <w:p>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ascii="仿宋_GB2312" w:hAnsi="仿宋" w:eastAsia="仿宋_GB2312" w:cs="仿宋"/>
          <w:sz w:val="32"/>
          <w:szCs w:val="32"/>
        </w:rPr>
      </w:pPr>
      <w:r>
        <w:rPr>
          <w:rFonts w:hint="eastAsia" w:ascii="仿宋_GB2312" w:hAnsi="仿宋" w:eastAsia="仿宋_GB2312" w:cs="仿宋"/>
          <w:sz w:val="32"/>
          <w:szCs w:val="32"/>
        </w:rPr>
        <w:t xml:space="preserve">    身份证号码：</w:t>
      </w:r>
      <w:r>
        <w:rPr>
          <w:rFonts w:hint="eastAsia" w:ascii="仿宋_GB2312" w:hAnsi="仿宋" w:eastAsia="仿宋_GB2312" w:cs="仿宋"/>
          <w:sz w:val="32"/>
          <w:szCs w:val="32"/>
          <w:u w:val="single"/>
        </w:rPr>
        <w:t xml:space="preserve">                </w:t>
      </w:r>
      <w:r>
        <w:rPr>
          <w:rFonts w:hint="eastAsia" w:ascii="仿宋_GB2312" w:hAnsi="仿宋" w:eastAsia="仿宋_GB2312" w:cs="仿宋"/>
          <w:sz w:val="32"/>
          <w:szCs w:val="32"/>
          <w:u w:val="single"/>
          <w:lang w:val="en-US" w:eastAsia="zh-CN"/>
        </w:rPr>
        <w:t xml:space="preserve">    </w:t>
      </w:r>
      <w:r>
        <w:rPr>
          <w:rFonts w:hint="eastAsia" w:ascii="仿宋_GB2312" w:hAnsi="仿宋" w:eastAsia="仿宋_GB2312" w:cs="仿宋"/>
          <w:sz w:val="32"/>
          <w:szCs w:val="32"/>
          <w:u w:val="single"/>
        </w:rPr>
        <w:t xml:space="preserve">   </w:t>
      </w:r>
      <w:r>
        <w:rPr>
          <w:rFonts w:hint="eastAsia" w:ascii="仿宋_GB2312" w:hAnsi="仿宋" w:eastAsia="仿宋_GB2312" w:cs="仿宋"/>
          <w:sz w:val="32"/>
          <w:szCs w:val="32"/>
        </w:rPr>
        <w:t xml:space="preserve"> 职务：</w:t>
      </w:r>
      <w:r>
        <w:rPr>
          <w:rFonts w:hint="eastAsia" w:ascii="仿宋_GB2312" w:hAnsi="仿宋" w:eastAsia="仿宋_GB2312" w:cs="仿宋"/>
          <w:sz w:val="32"/>
          <w:szCs w:val="32"/>
          <w:u w:val="single"/>
        </w:rPr>
        <w:t xml:space="preserve">        </w:t>
      </w:r>
      <w:r>
        <w:rPr>
          <w:rFonts w:hint="eastAsia" w:ascii="仿宋_GB2312" w:hAnsi="仿宋" w:eastAsia="仿宋_GB2312" w:cs="仿宋"/>
          <w:sz w:val="32"/>
          <w:szCs w:val="32"/>
        </w:rPr>
        <w:t xml:space="preserve">    </w:t>
      </w:r>
    </w:p>
    <w:p>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ascii="仿宋_GB2312" w:hAnsi="仿宋" w:eastAsia="仿宋_GB2312" w:cs="仿宋"/>
          <w:sz w:val="32"/>
          <w:szCs w:val="32"/>
        </w:rPr>
      </w:pPr>
      <w:r>
        <w:rPr>
          <w:rFonts w:hint="eastAsia" w:ascii="仿宋_GB2312" w:hAnsi="仿宋" w:eastAsia="仿宋_GB2312" w:cs="仿宋"/>
          <w:sz w:val="32"/>
          <w:szCs w:val="32"/>
        </w:rPr>
        <w:t xml:space="preserve">    授权委托有效期：    年   月  日 至    年   月  日 </w:t>
      </w:r>
    </w:p>
    <w:tbl>
      <w:tblPr>
        <w:tblStyle w:val="13"/>
        <w:tblW w:w="0" w:type="auto"/>
        <w:tblInd w:w="33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2" w:hRule="atLeast"/>
        </w:trPr>
        <w:tc>
          <w:tcPr>
            <w:tcW w:w="8449" w:type="dxa"/>
          </w:tcPr>
          <w:p>
            <w:pPr>
              <w:adjustRightInd w:val="0"/>
              <w:snapToGrid w:val="0"/>
              <w:spacing w:line="400" w:lineRule="exact"/>
              <w:rPr>
                <w:rFonts w:ascii="仿宋_GB2312" w:hAnsi="仿宋" w:eastAsia="仿宋_GB2312" w:cs="仿宋"/>
                <w:sz w:val="21"/>
                <w:szCs w:val="21"/>
              </w:rPr>
            </w:pPr>
            <w:r>
              <w:rPr>
                <w:rFonts w:hint="eastAsia" w:ascii="仿宋_GB2312" w:hAnsi="仿宋" w:eastAsia="仿宋_GB2312" w:cs="仿宋"/>
                <w:sz w:val="32"/>
                <w:szCs w:val="32"/>
              </w:rPr>
              <w:t>粘贴法定代表人和被授权人身份证（复印件）</w:t>
            </w:r>
          </w:p>
        </w:tc>
      </w:tr>
    </w:tbl>
    <w:p/>
    <w:p>
      <w:pPr>
        <w:pStyle w:val="2"/>
        <w:rPr>
          <w:rFonts w:hint="eastAsia"/>
          <w:lang w:val="en-US" w:eastAsia="zh-CN"/>
        </w:rPr>
        <w:sectPr>
          <w:pgSz w:w="11906" w:h="16838"/>
          <w:pgMar w:top="1701" w:right="1134" w:bottom="1134" w:left="1474" w:header="851" w:footer="992" w:gutter="0"/>
          <w:cols w:space="425" w:num="1"/>
          <w:docGrid w:type="lines" w:linePitch="312" w:charSpace="0"/>
        </w:sectPr>
      </w:pPr>
    </w:p>
    <w:p>
      <w:pPr>
        <w:adjustRightInd w:val="0"/>
        <w:snapToGrid w:val="0"/>
        <w:spacing w:line="400" w:lineRule="exact"/>
        <w:outlineLvl w:val="0"/>
        <w:rPr>
          <w:rFonts w:hint="eastAsia" w:ascii="黑体" w:hAnsi="黑体" w:eastAsia="黑体" w:cs="黑体"/>
          <w:sz w:val="32"/>
          <w:szCs w:val="32"/>
        </w:rPr>
      </w:pPr>
      <w:bookmarkStart w:id="27" w:name="_Toc4823"/>
      <w:bookmarkStart w:id="28" w:name="_Toc6225"/>
      <w:r>
        <w:rPr>
          <w:rFonts w:hint="eastAsia" w:ascii="黑体" w:hAnsi="黑体" w:eastAsia="黑体" w:cs="黑体"/>
          <w:sz w:val="32"/>
          <w:szCs w:val="32"/>
        </w:rPr>
        <w:t>附件3</w:t>
      </w:r>
      <w:bookmarkEnd w:id="27"/>
      <w:bookmarkEnd w:id="28"/>
    </w:p>
    <w:p>
      <w:pPr>
        <w:adjustRightInd w:val="0"/>
        <w:snapToGrid w:val="0"/>
        <w:spacing w:line="400" w:lineRule="exact"/>
        <w:rPr>
          <w:rFonts w:ascii="仿宋_GB2312" w:hAnsi="仿宋" w:eastAsia="仿宋_GB2312" w:cs="仿宋"/>
          <w:sz w:val="21"/>
          <w:szCs w:val="21"/>
        </w:rPr>
      </w:pPr>
    </w:p>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承</w:t>
      </w:r>
      <w:r>
        <w:rPr>
          <w:rFonts w:hint="eastAsia" w:ascii="方正小标宋简体" w:hAnsi="方正小标宋简体" w:eastAsia="方正小标宋简体" w:cs="方正小标宋简体"/>
          <w:sz w:val="44"/>
          <w:szCs w:val="44"/>
          <w:lang w:val="en-US" w:eastAsia="zh-CN"/>
        </w:rPr>
        <w:t xml:space="preserve"> </w:t>
      </w:r>
      <w:r>
        <w:rPr>
          <w:rFonts w:hint="eastAsia" w:ascii="方正小标宋简体" w:hAnsi="方正小标宋简体" w:eastAsia="方正小标宋简体" w:cs="方正小标宋简体"/>
          <w:sz w:val="44"/>
          <w:szCs w:val="44"/>
        </w:rPr>
        <w:t>诺</w:t>
      </w:r>
      <w:r>
        <w:rPr>
          <w:rFonts w:hint="eastAsia" w:ascii="方正小标宋简体" w:hAnsi="方正小标宋简体" w:eastAsia="方正小标宋简体" w:cs="方正小标宋简体"/>
          <w:sz w:val="44"/>
          <w:szCs w:val="44"/>
          <w:lang w:val="en-US" w:eastAsia="zh-CN"/>
        </w:rPr>
        <w:t xml:space="preserve"> </w:t>
      </w:r>
      <w:r>
        <w:rPr>
          <w:rFonts w:hint="eastAsia" w:ascii="方正小标宋简体" w:hAnsi="方正小标宋简体" w:eastAsia="方正小标宋简体" w:cs="方正小标宋简体"/>
          <w:sz w:val="44"/>
          <w:szCs w:val="44"/>
        </w:rPr>
        <w:t>书</w:t>
      </w:r>
    </w:p>
    <w:p>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ascii="仿宋_GB2312" w:hAnsi="仿宋" w:eastAsia="仿宋_GB2312" w:cs="仿宋"/>
          <w:sz w:val="32"/>
          <w:szCs w:val="32"/>
        </w:rPr>
      </w:pPr>
    </w:p>
    <w:p>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ascii="仿宋_GB2312" w:hAnsi="仿宋" w:eastAsia="仿宋_GB2312" w:cs="仿宋"/>
          <w:sz w:val="32"/>
          <w:szCs w:val="32"/>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黄石市城发土地资产运营管理有限公司</w:t>
      </w:r>
      <w:r>
        <w:rPr>
          <w:rFonts w:hint="eastAsia" w:ascii="仿宋_GB2312" w:hAnsi="仿宋" w:eastAsia="仿宋_GB2312" w:cs="仿宋"/>
          <w:sz w:val="32"/>
          <w:szCs w:val="32"/>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仿宋_GB2312" w:hAnsi="仿宋" w:eastAsia="仿宋_GB2312" w:cs="仿宋"/>
          <w:sz w:val="32"/>
          <w:szCs w:val="32"/>
        </w:rPr>
      </w:pPr>
      <w:r>
        <w:rPr>
          <w:rFonts w:hint="eastAsia" w:ascii="仿宋_GB2312" w:hAnsi="仿宋" w:eastAsia="仿宋_GB2312" w:cs="仿宋"/>
          <w:sz w:val="32"/>
          <w:szCs w:val="32"/>
        </w:rPr>
        <w:t>贵公司在该</w:t>
      </w:r>
      <w:r>
        <w:rPr>
          <w:rFonts w:hint="eastAsia" w:ascii="仿宋_GB2312" w:hAnsi="仿宋" w:eastAsia="仿宋_GB2312" w:cs="仿宋"/>
          <w:sz w:val="32"/>
          <w:szCs w:val="32"/>
          <w:lang w:val="en-US" w:eastAsia="zh-CN"/>
        </w:rPr>
        <w:t>询价公告</w:t>
      </w:r>
      <w:r>
        <w:rPr>
          <w:rFonts w:hint="eastAsia" w:ascii="仿宋_GB2312" w:hAnsi="仿宋" w:eastAsia="仿宋_GB2312" w:cs="仿宋"/>
          <w:sz w:val="32"/>
          <w:szCs w:val="32"/>
        </w:rPr>
        <w:t>所约定的“服务内容”及“工作要求”，本公司已知悉且完全可满足服务要求，并承诺在贵公司要求的时限内及时提供相关服务和取得相应成果，如有虚假承诺，本公司愿承担一切责任。</w:t>
      </w:r>
    </w:p>
    <w:p>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ascii="仿宋_GB2312" w:hAnsi="仿宋" w:eastAsia="仿宋_GB2312" w:cs="仿宋"/>
          <w:sz w:val="32"/>
          <w:szCs w:val="32"/>
        </w:rPr>
      </w:pPr>
    </w:p>
    <w:p>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ascii="仿宋_GB2312" w:hAnsi="仿宋" w:eastAsia="仿宋_GB2312" w:cs="仿宋"/>
          <w:sz w:val="32"/>
          <w:szCs w:val="32"/>
        </w:rPr>
      </w:pPr>
      <w:r>
        <w:rPr>
          <w:rFonts w:hint="eastAsia" w:ascii="仿宋_GB2312" w:hAnsi="仿宋" w:eastAsia="仿宋_GB2312" w:cs="仿宋"/>
          <w:sz w:val="32"/>
          <w:szCs w:val="32"/>
        </w:rPr>
        <w:t xml:space="preserve">                             承诺人（盖章）：</w:t>
      </w:r>
    </w:p>
    <w:p>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ascii="仿宋_GB2312" w:hAnsi="仿宋" w:eastAsia="仿宋_GB2312" w:cs="仿宋"/>
          <w:sz w:val="32"/>
          <w:szCs w:val="32"/>
        </w:rPr>
      </w:pPr>
    </w:p>
    <w:p>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default" w:ascii="仿宋_GB2312" w:hAnsi="仿宋_GB2312" w:eastAsia="仿宋_GB2312" w:cs="仿宋_GB2312"/>
          <w:sz w:val="32"/>
          <w:szCs w:val="32"/>
          <w:lang w:val="en-US" w:eastAsia="zh-CN"/>
        </w:rPr>
      </w:pPr>
      <w:r>
        <w:rPr>
          <w:rFonts w:hint="eastAsia" w:ascii="仿宋_GB2312" w:hAnsi="仿宋" w:eastAsia="仿宋_GB2312" w:cs="仿宋"/>
          <w:sz w:val="32"/>
          <w:szCs w:val="32"/>
        </w:rPr>
        <w:t xml:space="preserve">                        </w:t>
      </w:r>
      <w:r>
        <w:rPr>
          <w:rFonts w:hint="eastAsia" w:ascii="仿宋_GB2312" w:hAnsi="仿宋" w:eastAsia="仿宋_GB2312" w:cs="仿宋"/>
          <w:sz w:val="32"/>
          <w:szCs w:val="32"/>
          <w:lang w:val="en-US" w:eastAsia="zh-CN"/>
        </w:rPr>
        <w:t xml:space="preserve"> </w:t>
      </w:r>
      <w:r>
        <w:rPr>
          <w:rFonts w:hint="eastAsia" w:ascii="仿宋_GB2312" w:hAnsi="仿宋" w:eastAsia="仿宋_GB2312" w:cs="仿宋"/>
          <w:sz w:val="32"/>
          <w:szCs w:val="32"/>
        </w:rPr>
        <w:t xml:space="preserve">   承诺时间：   年  月</w:t>
      </w:r>
      <w:r>
        <w:rPr>
          <w:rFonts w:hint="eastAsia" w:ascii="仿宋_GB2312" w:hAnsi="仿宋" w:eastAsia="仿宋_GB2312" w:cs="仿宋"/>
          <w:sz w:val="32"/>
          <w:szCs w:val="32"/>
          <w:lang w:val="en-US" w:eastAsia="zh-CN"/>
        </w:rPr>
        <w:t xml:space="preserve">   日</w:t>
      </w:r>
    </w:p>
    <w:p>
      <w:pPr>
        <w:pStyle w:val="2"/>
      </w:pPr>
    </w:p>
    <w:p/>
    <w:p>
      <w:pPr>
        <w:pStyle w:val="9"/>
      </w:pPr>
    </w:p>
    <w:p/>
    <w:p>
      <w:pPr>
        <w:pStyle w:val="9"/>
      </w:pPr>
    </w:p>
    <w:p/>
    <w:p>
      <w:pPr>
        <w:pStyle w:val="9"/>
      </w:pPr>
    </w:p>
    <w:p/>
    <w:p>
      <w:pPr>
        <w:pStyle w:val="9"/>
      </w:pPr>
    </w:p>
    <w:p/>
    <w:p>
      <w:pPr>
        <w:pStyle w:val="9"/>
      </w:pPr>
    </w:p>
    <w:p/>
    <w:p>
      <w:pPr>
        <w:pStyle w:val="9"/>
      </w:pPr>
    </w:p>
    <w:p/>
    <w:p>
      <w:pPr>
        <w:pStyle w:val="9"/>
      </w:pPr>
    </w:p>
    <w:p/>
    <w:p>
      <w:pPr>
        <w:pStyle w:val="9"/>
      </w:pPr>
    </w:p>
    <w:p>
      <w:pPr>
        <w:pageBreakBefore w:val="0"/>
        <w:kinsoku/>
        <w:wordWrap/>
        <w:overflowPunct/>
        <w:topLinePunct w:val="0"/>
        <w:bidi w:val="0"/>
        <w:adjustRightInd w:val="0"/>
        <w:snapToGrid w:val="0"/>
        <w:spacing w:line="520" w:lineRule="exact"/>
        <w:jc w:val="center"/>
        <w:textAlignment w:val="auto"/>
        <w:rPr>
          <w:rFonts w:hint="eastAsia" w:ascii="方正小标宋简体" w:hAnsi="方正小标宋简体" w:eastAsia="方正小标宋简体" w:cs="方正小标宋简体"/>
          <w:b w:val="0"/>
          <w:bCs w:val="0"/>
          <w:sz w:val="44"/>
          <w:szCs w:val="44"/>
          <w:lang w:val="en-US" w:eastAsia="zh-CN"/>
        </w:rPr>
      </w:pPr>
      <w:bookmarkStart w:id="29" w:name="_Toc15296"/>
      <w:r>
        <w:rPr>
          <w:rFonts w:hint="eastAsia" w:ascii="方正小标宋简体" w:hAnsi="方正小标宋简体" w:eastAsia="方正小标宋简体" w:cs="方正小标宋简体"/>
          <w:b w:val="0"/>
          <w:bCs w:val="0"/>
          <w:sz w:val="44"/>
          <w:szCs w:val="44"/>
          <w:lang w:val="en-US" w:eastAsia="zh-CN"/>
        </w:rPr>
        <w:t>评 标 办 法</w:t>
      </w:r>
      <w:bookmarkEnd w:id="29"/>
    </w:p>
    <w:p>
      <w:pPr>
        <w:spacing w:line="360" w:lineRule="auto"/>
        <w:outlineLvl w:val="0"/>
        <w:rPr>
          <w:rFonts w:hint="eastAsia" w:ascii="宋体" w:hAnsi="宋体" w:cs="宋体"/>
          <w:bCs/>
          <w:sz w:val="24"/>
          <w:szCs w:val="24"/>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00"/>
        <w:jc w:val="left"/>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一、资格审查合格标准</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黑体" w:eastAsia="仿宋_GB2312" w:cs="黑体"/>
          <w:color w:val="000000"/>
          <w:sz w:val="32"/>
          <w:szCs w:val="32"/>
          <w:lang w:eastAsia="zh-CN"/>
        </w:rPr>
      </w:pPr>
      <w:r>
        <w:rPr>
          <w:rFonts w:hint="eastAsia" w:ascii="仿宋_GB2312" w:hAnsi="黑体" w:eastAsia="仿宋_GB2312" w:cs="黑体"/>
          <w:color w:val="000000"/>
          <w:sz w:val="32"/>
          <w:szCs w:val="32"/>
          <w:lang w:eastAsia="zh-CN"/>
        </w:rPr>
        <w:t xml:space="preserve">本招标项目采用资格后审方式，资格审查将采取合格/不合格制。 </w:t>
      </w:r>
    </w:p>
    <w:p>
      <w:pPr>
        <w:spacing w:before="8"/>
        <w:rPr>
          <w:rFonts w:ascii="宋体" w:hAnsi="宋体" w:eastAsia="宋体" w:cs="宋体"/>
          <w:b/>
          <w:bCs/>
          <w:sz w:val="4"/>
          <w:szCs w:val="4"/>
          <w:lang w:eastAsia="zh-CN"/>
        </w:rPr>
      </w:pPr>
    </w:p>
    <w:tbl>
      <w:tblPr>
        <w:tblStyle w:val="17"/>
        <w:tblW w:w="8647" w:type="dxa"/>
        <w:tblInd w:w="289" w:type="dxa"/>
        <w:tblLayout w:type="fixed"/>
        <w:tblCellMar>
          <w:top w:w="0" w:type="dxa"/>
          <w:left w:w="0" w:type="dxa"/>
          <w:bottom w:w="0" w:type="dxa"/>
          <w:right w:w="0" w:type="dxa"/>
        </w:tblCellMar>
      </w:tblPr>
      <w:tblGrid>
        <w:gridCol w:w="850"/>
        <w:gridCol w:w="5684"/>
        <w:gridCol w:w="2113"/>
      </w:tblGrid>
      <w:tr>
        <w:tblPrEx>
          <w:tblCellMar>
            <w:top w:w="0" w:type="dxa"/>
            <w:left w:w="0" w:type="dxa"/>
            <w:bottom w:w="0" w:type="dxa"/>
            <w:right w:w="0" w:type="dxa"/>
          </w:tblCellMar>
        </w:tblPrEx>
        <w:trPr>
          <w:trHeight w:val="563" w:hRule="exact"/>
        </w:trPr>
        <w:tc>
          <w:tcPr>
            <w:tcW w:w="850" w:type="dxa"/>
            <w:tcBorders>
              <w:top w:val="single" w:color="000000" w:sz="4" w:space="0"/>
              <w:left w:val="single" w:color="000000" w:sz="4" w:space="0"/>
              <w:bottom w:val="single" w:color="000000" w:sz="4" w:space="0"/>
              <w:right w:val="single" w:color="000000" w:sz="4" w:space="0"/>
            </w:tcBorders>
            <w:noWrap w:val="0"/>
            <w:vAlign w:val="center"/>
          </w:tcPr>
          <w:p>
            <w:pPr>
              <w:pStyle w:val="16"/>
              <w:spacing w:line="253" w:lineRule="exact"/>
              <w:ind w:left="200"/>
              <w:jc w:val="center"/>
              <w:rPr>
                <w:rFonts w:ascii="宋体" w:hAnsi="宋体" w:eastAsia="宋体" w:cs="宋体"/>
                <w:sz w:val="21"/>
                <w:szCs w:val="21"/>
              </w:rPr>
            </w:pPr>
            <w:r>
              <w:rPr>
                <w:rFonts w:ascii="宋体" w:hAnsi="宋体" w:eastAsia="宋体" w:cs="宋体"/>
                <w:b/>
                <w:bCs/>
                <w:sz w:val="21"/>
                <w:szCs w:val="21"/>
              </w:rPr>
              <w:t>序号</w:t>
            </w:r>
          </w:p>
        </w:tc>
        <w:tc>
          <w:tcPr>
            <w:tcW w:w="5684" w:type="dxa"/>
            <w:tcBorders>
              <w:top w:val="single" w:color="000000" w:sz="4" w:space="0"/>
              <w:left w:val="single" w:color="000000" w:sz="4" w:space="0"/>
              <w:bottom w:val="single" w:color="000000" w:sz="4" w:space="0"/>
              <w:right w:val="single" w:color="000000" w:sz="4" w:space="0"/>
            </w:tcBorders>
            <w:noWrap w:val="0"/>
            <w:vAlign w:val="center"/>
          </w:tcPr>
          <w:p>
            <w:pPr>
              <w:pStyle w:val="16"/>
              <w:tabs>
                <w:tab w:val="left" w:pos="557"/>
                <w:tab w:val="left" w:pos="1109"/>
                <w:tab w:val="left" w:pos="1551"/>
              </w:tabs>
              <w:spacing w:before="178"/>
              <w:ind w:left="5"/>
              <w:jc w:val="center"/>
              <w:rPr>
                <w:rFonts w:ascii="宋体" w:hAnsi="宋体" w:eastAsia="宋体" w:cs="宋体"/>
                <w:sz w:val="21"/>
                <w:szCs w:val="21"/>
              </w:rPr>
            </w:pPr>
            <w:r>
              <w:rPr>
                <w:rFonts w:ascii="宋体" w:hAnsi="宋体" w:eastAsia="宋体" w:cs="宋体"/>
                <w:b/>
                <w:bCs/>
                <w:sz w:val="21"/>
                <w:szCs w:val="21"/>
              </w:rPr>
              <w:t>合</w:t>
            </w:r>
            <w:r>
              <w:rPr>
                <w:rFonts w:ascii="宋体" w:hAnsi="宋体" w:eastAsia="宋体" w:cs="宋体"/>
                <w:b/>
                <w:bCs/>
                <w:sz w:val="21"/>
                <w:szCs w:val="21"/>
              </w:rPr>
              <w:tab/>
            </w:r>
            <w:r>
              <w:rPr>
                <w:rFonts w:ascii="宋体" w:hAnsi="宋体" w:eastAsia="宋体" w:cs="宋体"/>
                <w:b/>
                <w:bCs/>
                <w:sz w:val="21"/>
                <w:szCs w:val="21"/>
              </w:rPr>
              <w:t>格</w:t>
            </w:r>
            <w:r>
              <w:rPr>
                <w:rFonts w:ascii="宋体" w:hAnsi="宋体" w:eastAsia="宋体" w:cs="宋体"/>
                <w:b/>
                <w:bCs/>
                <w:sz w:val="21"/>
                <w:szCs w:val="21"/>
              </w:rPr>
              <w:tab/>
            </w:r>
            <w:r>
              <w:rPr>
                <w:rFonts w:ascii="宋体" w:hAnsi="宋体" w:eastAsia="宋体" w:cs="宋体"/>
                <w:b/>
                <w:bCs/>
                <w:sz w:val="21"/>
                <w:szCs w:val="21"/>
              </w:rPr>
              <w:t>条</w:t>
            </w:r>
            <w:r>
              <w:rPr>
                <w:rFonts w:ascii="宋体" w:hAnsi="宋体" w:eastAsia="宋体" w:cs="宋体"/>
                <w:b/>
                <w:bCs/>
                <w:sz w:val="21"/>
                <w:szCs w:val="21"/>
              </w:rPr>
              <w:tab/>
            </w:r>
            <w:r>
              <w:rPr>
                <w:rFonts w:ascii="宋体" w:hAnsi="宋体" w:eastAsia="宋体" w:cs="宋体"/>
                <w:b/>
                <w:bCs/>
                <w:sz w:val="21"/>
                <w:szCs w:val="21"/>
              </w:rPr>
              <w:t>件</w:t>
            </w:r>
          </w:p>
        </w:tc>
        <w:tc>
          <w:tcPr>
            <w:tcW w:w="2113" w:type="dxa"/>
            <w:tcBorders>
              <w:top w:val="single" w:color="000000" w:sz="4" w:space="0"/>
              <w:left w:val="single" w:color="000000" w:sz="4" w:space="0"/>
              <w:bottom w:val="single" w:color="000000" w:sz="4" w:space="0"/>
              <w:right w:val="single" w:color="000000" w:sz="4" w:space="0"/>
            </w:tcBorders>
            <w:noWrap w:val="0"/>
            <w:vAlign w:val="center"/>
          </w:tcPr>
          <w:p>
            <w:pPr>
              <w:pStyle w:val="16"/>
              <w:spacing w:line="253" w:lineRule="exact"/>
              <w:ind w:left="103"/>
              <w:jc w:val="center"/>
              <w:rPr>
                <w:rFonts w:ascii="宋体" w:hAnsi="宋体" w:eastAsia="宋体" w:cs="宋体"/>
                <w:sz w:val="21"/>
                <w:szCs w:val="21"/>
                <w:lang w:eastAsia="zh-CN"/>
              </w:rPr>
            </w:pPr>
            <w:r>
              <w:rPr>
                <w:rFonts w:ascii="宋体" w:hAnsi="宋体" w:eastAsia="宋体" w:cs="宋体"/>
                <w:b/>
                <w:bCs/>
                <w:sz w:val="21"/>
                <w:szCs w:val="21"/>
                <w:lang w:eastAsia="zh-CN"/>
              </w:rPr>
              <w:t>投标人具备的条件或说明</w:t>
            </w:r>
          </w:p>
        </w:tc>
      </w:tr>
      <w:tr>
        <w:tblPrEx>
          <w:tblCellMar>
            <w:top w:w="0" w:type="dxa"/>
            <w:left w:w="0" w:type="dxa"/>
            <w:bottom w:w="0" w:type="dxa"/>
            <w:right w:w="0" w:type="dxa"/>
          </w:tblCellMar>
        </w:tblPrEx>
        <w:trPr>
          <w:trHeight w:val="994" w:hRule="exact"/>
        </w:trPr>
        <w:tc>
          <w:tcPr>
            <w:tcW w:w="850" w:type="dxa"/>
            <w:tcBorders>
              <w:top w:val="single" w:color="000000" w:sz="4" w:space="0"/>
              <w:left w:val="single" w:color="000000" w:sz="4" w:space="0"/>
              <w:bottom w:val="single" w:color="000000" w:sz="4" w:space="0"/>
              <w:right w:val="single" w:color="000000" w:sz="4" w:space="0"/>
            </w:tcBorders>
            <w:noWrap w:val="0"/>
            <w:vAlign w:val="center"/>
          </w:tcPr>
          <w:p>
            <w:pPr>
              <w:pStyle w:val="16"/>
              <w:spacing w:before="92"/>
              <w:ind w:left="2"/>
              <w:jc w:val="center"/>
              <w:rPr>
                <w:rFonts w:ascii="宋体" w:hAnsi="宋体" w:eastAsia="宋体" w:cs="宋体"/>
                <w:sz w:val="21"/>
                <w:szCs w:val="21"/>
              </w:rPr>
            </w:pPr>
            <w:r>
              <w:rPr>
                <w:rFonts w:ascii="宋体"/>
                <w:sz w:val="21"/>
                <w:szCs w:val="21"/>
              </w:rPr>
              <w:t>1</w:t>
            </w:r>
          </w:p>
        </w:tc>
        <w:tc>
          <w:tcPr>
            <w:tcW w:w="5684" w:type="dxa"/>
            <w:tcBorders>
              <w:top w:val="single" w:color="000000" w:sz="4" w:space="0"/>
              <w:left w:val="single" w:color="000000" w:sz="4" w:space="0"/>
              <w:bottom w:val="single" w:color="000000" w:sz="4" w:space="0"/>
              <w:right w:val="single" w:color="000000" w:sz="4" w:space="0"/>
            </w:tcBorders>
            <w:noWrap w:val="0"/>
            <w:vAlign w:val="center"/>
          </w:tcPr>
          <w:p>
            <w:pPr>
              <w:pStyle w:val="16"/>
              <w:spacing w:before="48" w:line="286" w:lineRule="exact"/>
              <w:ind w:left="103" w:right="110"/>
              <w:jc w:val="left"/>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投标人在中国境内注册并取得的具备独立法人资格的营业执照（三证合一），具有相应的经营范围，且在有效期内。</w:t>
            </w:r>
          </w:p>
        </w:tc>
        <w:tc>
          <w:tcPr>
            <w:tcW w:w="2113" w:type="dxa"/>
            <w:tcBorders>
              <w:top w:val="single" w:color="000000" w:sz="4" w:space="0"/>
              <w:left w:val="single" w:color="000000" w:sz="4" w:space="0"/>
              <w:bottom w:val="single" w:color="000000" w:sz="4" w:space="0"/>
              <w:right w:val="single" w:color="000000" w:sz="4" w:space="0"/>
            </w:tcBorders>
            <w:noWrap w:val="0"/>
            <w:vAlign w:val="center"/>
          </w:tcPr>
          <w:p>
            <w:pPr>
              <w:pStyle w:val="16"/>
              <w:spacing w:before="164"/>
              <w:jc w:val="center"/>
              <w:rPr>
                <w:rFonts w:hint="eastAsia" w:ascii="仿宋_GB2312" w:hAnsi="仿宋_GB2312" w:eastAsia="仿宋_GB2312" w:cs="仿宋_GB2312"/>
                <w:sz w:val="22"/>
                <w:szCs w:val="22"/>
              </w:rPr>
            </w:pPr>
            <w:r>
              <w:rPr>
                <w:rFonts w:hint="eastAsia" w:ascii="仿宋_GB2312" w:hAnsi="仿宋_GB2312" w:eastAsia="仿宋_GB2312" w:cs="仿宋_GB2312"/>
                <w:sz w:val="22"/>
                <w:szCs w:val="22"/>
                <w:lang w:val="en-US" w:eastAsia="zh-CN"/>
              </w:rPr>
              <w:t>清晰扫描件</w:t>
            </w:r>
            <w:r>
              <w:rPr>
                <w:rFonts w:hint="eastAsia" w:ascii="仿宋_GB2312" w:hAnsi="仿宋_GB2312" w:eastAsia="仿宋_GB2312" w:cs="仿宋_GB2312"/>
                <w:sz w:val="22"/>
                <w:szCs w:val="22"/>
              </w:rPr>
              <w:t>加盖公章</w:t>
            </w:r>
          </w:p>
        </w:tc>
      </w:tr>
      <w:tr>
        <w:tblPrEx>
          <w:tblCellMar>
            <w:top w:w="0" w:type="dxa"/>
            <w:left w:w="0" w:type="dxa"/>
            <w:bottom w:w="0" w:type="dxa"/>
            <w:right w:w="0" w:type="dxa"/>
          </w:tblCellMar>
        </w:tblPrEx>
        <w:trPr>
          <w:trHeight w:val="715" w:hRule="exact"/>
        </w:trPr>
        <w:tc>
          <w:tcPr>
            <w:tcW w:w="850" w:type="dxa"/>
            <w:tcBorders>
              <w:top w:val="single" w:color="000000" w:sz="4" w:space="0"/>
              <w:left w:val="single" w:color="000000" w:sz="4" w:space="0"/>
              <w:bottom w:val="single" w:color="000000" w:sz="4" w:space="0"/>
              <w:right w:val="single" w:color="000000" w:sz="4" w:space="0"/>
            </w:tcBorders>
            <w:noWrap w:val="0"/>
            <w:vAlign w:val="center"/>
          </w:tcPr>
          <w:p>
            <w:pPr>
              <w:pStyle w:val="16"/>
              <w:spacing w:before="177"/>
              <w:ind w:left="2"/>
              <w:jc w:val="center"/>
              <w:rPr>
                <w:rFonts w:ascii="宋体" w:hAnsi="宋体" w:eastAsia="宋体" w:cs="宋体"/>
                <w:sz w:val="21"/>
                <w:szCs w:val="21"/>
              </w:rPr>
            </w:pPr>
            <w:r>
              <w:rPr>
                <w:rFonts w:ascii="宋体"/>
                <w:sz w:val="21"/>
                <w:szCs w:val="21"/>
              </w:rPr>
              <w:t>2</w:t>
            </w:r>
          </w:p>
        </w:tc>
        <w:tc>
          <w:tcPr>
            <w:tcW w:w="5684" w:type="dxa"/>
            <w:tcBorders>
              <w:top w:val="single" w:color="000000" w:sz="4" w:space="0"/>
              <w:left w:val="single" w:color="000000" w:sz="4" w:space="0"/>
              <w:bottom w:val="single" w:color="000000" w:sz="4" w:space="0"/>
              <w:right w:val="single" w:color="000000" w:sz="4" w:space="0"/>
            </w:tcBorders>
            <w:noWrap w:val="0"/>
            <w:vAlign w:val="center"/>
          </w:tcPr>
          <w:p>
            <w:pPr>
              <w:pStyle w:val="16"/>
              <w:spacing w:before="27" w:line="286" w:lineRule="exact"/>
              <w:ind w:left="103" w:right="110"/>
              <w:jc w:val="left"/>
              <w:rPr>
                <w:rFonts w:hint="eastAsia" w:ascii="仿宋_GB2312" w:hAnsi="仿宋_GB2312" w:eastAsia="仿宋_GB2312" w:cs="仿宋_GB2312"/>
                <w:sz w:val="22"/>
                <w:szCs w:val="22"/>
                <w:lang w:val="en-US" w:eastAsia="zh-CN"/>
              </w:rPr>
            </w:pPr>
            <w:r>
              <w:rPr>
                <w:rFonts w:hint="eastAsia" w:ascii="仿宋_GB2312" w:hAnsi="仿宋_GB2312" w:eastAsia="仿宋_GB2312" w:cs="仿宋_GB2312"/>
                <w:sz w:val="22"/>
                <w:szCs w:val="22"/>
                <w:lang w:val="en-US" w:eastAsia="zh-CN"/>
              </w:rPr>
              <w:t>投标人须具备资产评估资质。</w:t>
            </w:r>
          </w:p>
        </w:tc>
        <w:tc>
          <w:tcPr>
            <w:tcW w:w="2113" w:type="dxa"/>
            <w:tcBorders>
              <w:top w:val="single" w:color="000000" w:sz="4" w:space="0"/>
              <w:left w:val="single" w:color="000000" w:sz="4" w:space="0"/>
              <w:bottom w:val="single" w:color="000000" w:sz="4" w:space="0"/>
              <w:right w:val="single" w:color="000000" w:sz="4" w:space="0"/>
            </w:tcBorders>
            <w:noWrap w:val="0"/>
            <w:vAlign w:val="center"/>
          </w:tcPr>
          <w:p>
            <w:pPr>
              <w:ind w:left="103"/>
              <w:jc w:val="both"/>
              <w:rPr>
                <w:rFonts w:hint="eastAsia" w:ascii="仿宋_GB2312" w:hAnsi="仿宋_GB2312" w:eastAsia="仿宋_GB2312" w:cs="仿宋_GB2312"/>
                <w:sz w:val="22"/>
                <w:szCs w:val="22"/>
              </w:rPr>
            </w:pPr>
            <w:r>
              <w:rPr>
                <w:rFonts w:hint="eastAsia" w:ascii="仿宋_GB2312" w:hAnsi="仿宋_GB2312" w:eastAsia="仿宋_GB2312" w:cs="仿宋_GB2312"/>
                <w:sz w:val="22"/>
                <w:szCs w:val="22"/>
                <w:lang w:val="en-US" w:eastAsia="zh-CN"/>
              </w:rPr>
              <w:t>清晰扫描件</w:t>
            </w:r>
            <w:r>
              <w:rPr>
                <w:rFonts w:hint="eastAsia" w:ascii="仿宋_GB2312" w:hAnsi="仿宋_GB2312" w:eastAsia="仿宋_GB2312" w:cs="仿宋_GB2312"/>
                <w:sz w:val="22"/>
                <w:szCs w:val="22"/>
              </w:rPr>
              <w:t>加盖公章</w:t>
            </w:r>
          </w:p>
        </w:tc>
      </w:tr>
      <w:tr>
        <w:tblPrEx>
          <w:tblCellMar>
            <w:top w:w="0" w:type="dxa"/>
            <w:left w:w="0" w:type="dxa"/>
            <w:bottom w:w="0" w:type="dxa"/>
            <w:right w:w="0" w:type="dxa"/>
          </w:tblCellMar>
        </w:tblPrEx>
        <w:trPr>
          <w:trHeight w:val="1071" w:hRule="exact"/>
        </w:trPr>
        <w:tc>
          <w:tcPr>
            <w:tcW w:w="850" w:type="dxa"/>
            <w:tcBorders>
              <w:top w:val="single" w:color="000000" w:sz="4" w:space="0"/>
              <w:left w:val="single" w:color="000000" w:sz="4" w:space="0"/>
              <w:bottom w:val="single" w:color="000000" w:sz="4" w:space="0"/>
              <w:right w:val="single" w:color="000000" w:sz="4" w:space="0"/>
            </w:tcBorders>
            <w:noWrap w:val="0"/>
            <w:vAlign w:val="center"/>
          </w:tcPr>
          <w:p>
            <w:pPr>
              <w:pStyle w:val="16"/>
              <w:spacing w:before="113"/>
              <w:ind w:left="2"/>
              <w:jc w:val="center"/>
              <w:rPr>
                <w:rFonts w:ascii="宋体" w:hAnsi="宋体" w:eastAsia="宋体" w:cs="宋体"/>
                <w:sz w:val="21"/>
                <w:szCs w:val="21"/>
              </w:rPr>
            </w:pPr>
            <w:r>
              <w:rPr>
                <w:rFonts w:ascii="宋体"/>
                <w:sz w:val="21"/>
                <w:szCs w:val="21"/>
              </w:rPr>
              <w:t>3</w:t>
            </w:r>
          </w:p>
        </w:tc>
        <w:tc>
          <w:tcPr>
            <w:tcW w:w="5684" w:type="dxa"/>
            <w:tcBorders>
              <w:top w:val="single" w:color="000000" w:sz="4" w:space="0"/>
              <w:left w:val="single" w:color="000000" w:sz="4" w:space="0"/>
              <w:bottom w:val="single" w:color="000000" w:sz="4" w:space="0"/>
              <w:right w:val="single" w:color="000000" w:sz="4" w:space="0"/>
            </w:tcBorders>
            <w:noWrap w:val="0"/>
            <w:vAlign w:val="center"/>
          </w:tcPr>
          <w:p>
            <w:pPr>
              <w:pStyle w:val="16"/>
              <w:spacing w:before="185"/>
              <w:ind w:left="103"/>
              <w:jc w:val="left"/>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投标人业绩要求：投标人自 2021年1月 1 日以来（以合同签订日期为准）至少承接</w:t>
            </w:r>
            <w:r>
              <w:rPr>
                <w:rFonts w:hint="eastAsia" w:ascii="仿宋_GB2312" w:hAnsi="仿宋_GB2312" w:eastAsia="仿宋_GB2312" w:cs="仿宋_GB2312"/>
                <w:sz w:val="22"/>
                <w:szCs w:val="22"/>
                <w:lang w:val="zh-CN" w:eastAsia="zh-CN"/>
              </w:rPr>
              <w:t>过</w:t>
            </w:r>
            <w:r>
              <w:rPr>
                <w:rFonts w:hint="eastAsia" w:ascii="仿宋_GB2312" w:hAnsi="仿宋_GB2312" w:eastAsia="仿宋_GB2312" w:cs="仿宋_GB2312"/>
                <w:sz w:val="22"/>
                <w:szCs w:val="22"/>
                <w:lang w:val="en-US" w:eastAsia="zh-CN"/>
              </w:rPr>
              <w:t>1项资产评估业绩（提供合同复印件或中标通知书加盖公章</w:t>
            </w:r>
            <w:r>
              <w:rPr>
                <w:rFonts w:hint="eastAsia" w:ascii="仿宋_GB2312" w:hAnsi="仿宋_GB2312" w:eastAsia="仿宋_GB2312" w:cs="仿宋_GB2312"/>
                <w:sz w:val="22"/>
                <w:szCs w:val="22"/>
                <w:lang w:eastAsia="zh-CN"/>
              </w:rPr>
              <w:t>）。</w:t>
            </w:r>
          </w:p>
        </w:tc>
        <w:tc>
          <w:tcPr>
            <w:tcW w:w="2113" w:type="dxa"/>
            <w:tcBorders>
              <w:top w:val="single" w:color="000000" w:sz="4" w:space="0"/>
              <w:left w:val="single" w:color="000000" w:sz="4" w:space="0"/>
              <w:bottom w:val="single" w:color="000000" w:sz="4" w:space="0"/>
              <w:right w:val="single" w:color="000000" w:sz="4" w:space="0"/>
            </w:tcBorders>
            <w:noWrap w:val="0"/>
            <w:vAlign w:val="center"/>
          </w:tcPr>
          <w:p>
            <w:pPr>
              <w:spacing w:before="185"/>
              <w:ind w:left="103"/>
              <w:jc w:val="both"/>
              <w:rPr>
                <w:rFonts w:hint="eastAsia" w:ascii="仿宋_GB2312" w:hAnsi="仿宋_GB2312" w:eastAsia="仿宋_GB2312" w:cs="仿宋_GB2312"/>
                <w:sz w:val="22"/>
                <w:szCs w:val="22"/>
              </w:rPr>
            </w:pPr>
            <w:r>
              <w:rPr>
                <w:rFonts w:hint="eastAsia" w:ascii="仿宋_GB2312" w:hAnsi="仿宋_GB2312" w:eastAsia="仿宋_GB2312" w:cs="仿宋_GB2312"/>
                <w:sz w:val="22"/>
                <w:szCs w:val="22"/>
                <w:lang w:val="en-US" w:eastAsia="zh-CN"/>
              </w:rPr>
              <w:t>清晰扫描件</w:t>
            </w:r>
            <w:r>
              <w:rPr>
                <w:rFonts w:hint="eastAsia" w:ascii="仿宋_GB2312" w:hAnsi="仿宋_GB2312" w:eastAsia="仿宋_GB2312" w:cs="仿宋_GB2312"/>
                <w:sz w:val="22"/>
                <w:szCs w:val="22"/>
              </w:rPr>
              <w:t>加盖公章</w:t>
            </w:r>
          </w:p>
        </w:tc>
      </w:tr>
      <w:tr>
        <w:tblPrEx>
          <w:tblCellMar>
            <w:top w:w="0" w:type="dxa"/>
            <w:left w:w="0" w:type="dxa"/>
            <w:bottom w:w="0" w:type="dxa"/>
            <w:right w:w="0" w:type="dxa"/>
          </w:tblCellMar>
        </w:tblPrEx>
        <w:trPr>
          <w:trHeight w:val="1581" w:hRule="exact"/>
        </w:trPr>
        <w:tc>
          <w:tcPr>
            <w:tcW w:w="850" w:type="dxa"/>
            <w:tcBorders>
              <w:top w:val="single" w:color="000000" w:sz="4" w:space="0"/>
              <w:left w:val="single" w:color="000000" w:sz="4" w:space="0"/>
              <w:bottom w:val="single" w:color="000000" w:sz="4" w:space="0"/>
              <w:right w:val="single" w:color="000000" w:sz="4" w:space="0"/>
            </w:tcBorders>
            <w:noWrap w:val="0"/>
            <w:vAlign w:val="center"/>
          </w:tcPr>
          <w:p>
            <w:pPr>
              <w:pStyle w:val="16"/>
              <w:spacing w:before="114"/>
              <w:ind w:left="2"/>
              <w:jc w:val="center"/>
              <w:rPr>
                <w:rFonts w:hint="eastAsia" w:ascii="宋体" w:hAnsi="宋体" w:eastAsia="宋体" w:cs="宋体"/>
                <w:sz w:val="21"/>
                <w:szCs w:val="21"/>
                <w:lang w:eastAsia="zh-CN"/>
              </w:rPr>
            </w:pPr>
            <w:r>
              <w:rPr>
                <w:rFonts w:hint="eastAsia" w:ascii="宋体" w:eastAsia="宋体"/>
                <w:sz w:val="21"/>
                <w:szCs w:val="21"/>
                <w:lang w:val="en-US" w:eastAsia="zh-CN"/>
              </w:rPr>
              <w:t>4</w:t>
            </w:r>
          </w:p>
        </w:tc>
        <w:tc>
          <w:tcPr>
            <w:tcW w:w="5684" w:type="dxa"/>
            <w:tcBorders>
              <w:top w:val="single" w:color="000000" w:sz="4" w:space="0"/>
              <w:left w:val="single" w:color="000000" w:sz="4" w:space="0"/>
              <w:bottom w:val="single" w:color="000000" w:sz="4" w:space="0"/>
              <w:right w:val="single" w:color="000000" w:sz="4" w:space="0"/>
            </w:tcBorders>
            <w:noWrap w:val="0"/>
            <w:vAlign w:val="center"/>
          </w:tcPr>
          <w:p>
            <w:pPr>
              <w:pStyle w:val="16"/>
              <w:spacing w:before="70" w:line="286" w:lineRule="exact"/>
              <w:ind w:left="103" w:right="110"/>
              <w:jc w:val="left"/>
              <w:rPr>
                <w:rFonts w:hint="eastAsia" w:ascii="仿宋_GB2312" w:hAnsi="仿宋_GB2312" w:eastAsia="仿宋_GB2312" w:cs="仿宋_GB2312"/>
                <w:sz w:val="22"/>
                <w:szCs w:val="22"/>
                <w:lang w:val="en-US" w:eastAsia="zh-CN"/>
              </w:rPr>
            </w:pPr>
            <w:r>
              <w:rPr>
                <w:rFonts w:hint="eastAsia" w:ascii="仿宋_GB2312" w:hAnsi="仿宋_GB2312" w:eastAsia="仿宋_GB2312" w:cs="仿宋_GB2312"/>
                <w:sz w:val="22"/>
                <w:szCs w:val="22"/>
                <w:lang w:val="en-US" w:eastAsia="zh-CN"/>
              </w:rPr>
              <w:t>根据《关于在招标投标活动中对失信被执行人实施联合惩戒的通知》([2016]285 号)规定，投标人须通过“信用中国”(网址 www.creditchina.gov.cn)对本企业进行信用查询，若在“失信被执行人”名单中的，其投标无效，查询结果以当天在“信用中国”网站查询结果为准。</w:t>
            </w:r>
          </w:p>
          <w:p>
            <w:pPr>
              <w:pStyle w:val="16"/>
              <w:spacing w:before="70" w:line="286" w:lineRule="exact"/>
              <w:ind w:left="103" w:right="110"/>
              <w:jc w:val="left"/>
              <w:rPr>
                <w:rFonts w:hint="eastAsia" w:ascii="仿宋_GB2312" w:hAnsi="仿宋_GB2312" w:eastAsia="仿宋_GB2312" w:cs="仿宋_GB2312"/>
                <w:sz w:val="22"/>
                <w:szCs w:val="22"/>
                <w:lang w:eastAsia="zh-CN"/>
              </w:rPr>
            </w:pPr>
          </w:p>
        </w:tc>
        <w:tc>
          <w:tcPr>
            <w:tcW w:w="2113" w:type="dxa"/>
            <w:tcBorders>
              <w:top w:val="single" w:color="000000" w:sz="4" w:space="0"/>
              <w:left w:val="single" w:color="000000" w:sz="4" w:space="0"/>
              <w:bottom w:val="single" w:color="000000" w:sz="4" w:space="0"/>
              <w:right w:val="single" w:color="000000" w:sz="4" w:space="0"/>
            </w:tcBorders>
            <w:noWrap w:val="0"/>
            <w:vAlign w:val="center"/>
          </w:tcPr>
          <w:p>
            <w:pPr>
              <w:pStyle w:val="16"/>
              <w:spacing w:before="186"/>
              <w:ind w:left="103"/>
              <w:jc w:val="center"/>
              <w:rPr>
                <w:rFonts w:hint="eastAsia" w:ascii="仿宋_GB2312" w:hAnsi="仿宋_GB2312" w:eastAsia="仿宋_GB2312" w:cs="仿宋_GB2312"/>
                <w:sz w:val="22"/>
                <w:szCs w:val="22"/>
              </w:rPr>
            </w:pPr>
            <w:r>
              <w:rPr>
                <w:rFonts w:hint="eastAsia" w:ascii="仿宋_GB2312" w:hAnsi="仿宋_GB2312" w:eastAsia="仿宋_GB2312" w:cs="仿宋_GB2312"/>
                <w:sz w:val="22"/>
                <w:szCs w:val="22"/>
              </w:rPr>
              <w:t>提供网络查询截图</w:t>
            </w:r>
          </w:p>
        </w:tc>
      </w:tr>
      <w:tr>
        <w:tblPrEx>
          <w:tblCellMar>
            <w:top w:w="0" w:type="dxa"/>
            <w:left w:w="0" w:type="dxa"/>
            <w:bottom w:w="0" w:type="dxa"/>
            <w:right w:w="0" w:type="dxa"/>
          </w:tblCellMar>
        </w:tblPrEx>
        <w:trPr>
          <w:trHeight w:val="736" w:hRule="exact"/>
        </w:trPr>
        <w:tc>
          <w:tcPr>
            <w:tcW w:w="850" w:type="dxa"/>
            <w:tcBorders>
              <w:top w:val="single" w:color="000000" w:sz="4" w:space="0"/>
              <w:left w:val="single" w:color="000000" w:sz="4" w:space="0"/>
              <w:bottom w:val="single" w:color="000000" w:sz="4" w:space="0"/>
              <w:right w:val="single" w:color="000000" w:sz="4" w:space="0"/>
            </w:tcBorders>
            <w:noWrap w:val="0"/>
            <w:vAlign w:val="center"/>
          </w:tcPr>
          <w:p>
            <w:pPr>
              <w:pStyle w:val="16"/>
              <w:spacing w:before="115"/>
              <w:ind w:left="2"/>
              <w:jc w:val="center"/>
              <w:rPr>
                <w:rFonts w:ascii="宋体"/>
                <w:sz w:val="21"/>
                <w:szCs w:val="21"/>
                <w:lang w:eastAsia="zh-CN"/>
              </w:rPr>
            </w:pPr>
            <w:r>
              <w:rPr>
                <w:rFonts w:hint="eastAsia" w:ascii="宋体"/>
                <w:sz w:val="21"/>
                <w:szCs w:val="21"/>
                <w:lang w:val="en-US" w:eastAsia="zh-CN"/>
              </w:rPr>
              <w:t>5</w:t>
            </w:r>
          </w:p>
        </w:tc>
        <w:tc>
          <w:tcPr>
            <w:tcW w:w="5684" w:type="dxa"/>
            <w:tcBorders>
              <w:top w:val="single" w:color="000000" w:sz="4" w:space="0"/>
              <w:left w:val="single" w:color="000000" w:sz="4" w:space="0"/>
              <w:bottom w:val="single" w:color="000000" w:sz="4" w:space="0"/>
              <w:right w:val="single" w:color="000000" w:sz="4" w:space="0"/>
            </w:tcBorders>
            <w:noWrap w:val="0"/>
            <w:vAlign w:val="center"/>
          </w:tcPr>
          <w:p>
            <w:pPr>
              <w:pStyle w:val="16"/>
              <w:spacing w:before="70" w:line="286" w:lineRule="exact"/>
              <w:ind w:left="103" w:right="110"/>
              <w:jc w:val="left"/>
              <w:rPr>
                <w:rFonts w:hint="eastAsia" w:ascii="仿宋_GB2312" w:hAnsi="仿宋_GB2312" w:eastAsia="仿宋_GB2312" w:cs="仿宋_GB2312"/>
                <w:spacing w:val="-2"/>
                <w:sz w:val="22"/>
                <w:szCs w:val="22"/>
                <w:lang w:eastAsia="zh-CN"/>
              </w:rPr>
            </w:pPr>
            <w:r>
              <w:rPr>
                <w:rFonts w:hint="eastAsia" w:ascii="仿宋_GB2312" w:hAnsi="仿宋_GB2312" w:eastAsia="仿宋_GB2312" w:cs="仿宋_GB2312"/>
                <w:spacing w:val="-2"/>
                <w:sz w:val="22"/>
                <w:szCs w:val="22"/>
                <w:lang w:eastAsia="zh-CN"/>
              </w:rPr>
              <w:t>投标人须提供诚信投标等承诺书。</w:t>
            </w:r>
          </w:p>
        </w:tc>
        <w:tc>
          <w:tcPr>
            <w:tcW w:w="2113" w:type="dxa"/>
            <w:tcBorders>
              <w:top w:val="single" w:color="000000" w:sz="4" w:space="0"/>
              <w:left w:val="single" w:color="000000" w:sz="4" w:space="0"/>
              <w:bottom w:val="single" w:color="000000" w:sz="4" w:space="0"/>
              <w:right w:val="single" w:color="000000" w:sz="4" w:space="0"/>
            </w:tcBorders>
            <w:noWrap w:val="0"/>
            <w:vAlign w:val="center"/>
          </w:tcPr>
          <w:p>
            <w:pPr>
              <w:pStyle w:val="16"/>
              <w:spacing w:before="184"/>
              <w:ind w:left="103"/>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rPr>
              <w:t>提供原件扫描件</w:t>
            </w:r>
          </w:p>
        </w:tc>
      </w:tr>
      <w:tr>
        <w:tblPrEx>
          <w:tblCellMar>
            <w:top w:w="0" w:type="dxa"/>
            <w:left w:w="0" w:type="dxa"/>
            <w:bottom w:w="0" w:type="dxa"/>
            <w:right w:w="0" w:type="dxa"/>
          </w:tblCellMar>
        </w:tblPrEx>
        <w:trPr>
          <w:trHeight w:val="721" w:hRule="exact"/>
        </w:trPr>
        <w:tc>
          <w:tcPr>
            <w:tcW w:w="850" w:type="dxa"/>
            <w:tcBorders>
              <w:top w:val="single" w:color="000000" w:sz="4" w:space="0"/>
              <w:left w:val="single" w:color="000000" w:sz="4" w:space="0"/>
              <w:bottom w:val="single" w:color="000000" w:sz="4" w:space="0"/>
              <w:right w:val="single" w:color="000000" w:sz="4" w:space="0"/>
            </w:tcBorders>
            <w:noWrap w:val="0"/>
            <w:vAlign w:val="center"/>
          </w:tcPr>
          <w:p>
            <w:pPr>
              <w:pStyle w:val="16"/>
              <w:spacing w:before="115"/>
              <w:ind w:left="2"/>
              <w:jc w:val="center"/>
              <w:rPr>
                <w:rFonts w:ascii="宋体" w:hAnsi="宋体" w:eastAsia="宋体" w:cs="宋体"/>
                <w:sz w:val="21"/>
                <w:szCs w:val="21"/>
                <w:lang w:eastAsia="zh-CN"/>
              </w:rPr>
            </w:pPr>
            <w:r>
              <w:rPr>
                <w:rFonts w:hint="eastAsia" w:ascii="宋体" w:eastAsia="宋体"/>
                <w:sz w:val="21"/>
                <w:szCs w:val="21"/>
                <w:lang w:val="en-US" w:eastAsia="zh-CN"/>
              </w:rPr>
              <w:t>6</w:t>
            </w:r>
          </w:p>
        </w:tc>
        <w:tc>
          <w:tcPr>
            <w:tcW w:w="5684" w:type="dxa"/>
            <w:tcBorders>
              <w:top w:val="single" w:color="000000" w:sz="4" w:space="0"/>
              <w:left w:val="single" w:color="000000" w:sz="4" w:space="0"/>
              <w:bottom w:val="single" w:color="000000" w:sz="4" w:space="0"/>
              <w:right w:val="single" w:color="000000" w:sz="4" w:space="0"/>
            </w:tcBorders>
            <w:noWrap w:val="0"/>
            <w:vAlign w:val="center"/>
          </w:tcPr>
          <w:p>
            <w:pPr>
              <w:pStyle w:val="16"/>
              <w:spacing w:before="185"/>
              <w:ind w:left="103"/>
              <w:jc w:val="left"/>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rPr>
              <w:t>实质性响应</w:t>
            </w:r>
            <w:r>
              <w:rPr>
                <w:rFonts w:hint="eastAsia" w:ascii="仿宋_GB2312" w:hAnsi="仿宋_GB2312" w:eastAsia="仿宋_GB2312" w:cs="仿宋_GB2312"/>
                <w:sz w:val="22"/>
                <w:szCs w:val="22"/>
                <w:lang w:eastAsia="zh-CN"/>
              </w:rPr>
              <w:t>。</w:t>
            </w:r>
          </w:p>
        </w:tc>
        <w:tc>
          <w:tcPr>
            <w:tcW w:w="2113" w:type="dxa"/>
            <w:tcBorders>
              <w:top w:val="single" w:color="000000" w:sz="4" w:space="0"/>
              <w:left w:val="single" w:color="000000" w:sz="4" w:space="0"/>
              <w:bottom w:val="single" w:color="000000" w:sz="4" w:space="0"/>
              <w:right w:val="single" w:color="000000" w:sz="4" w:space="0"/>
            </w:tcBorders>
            <w:noWrap w:val="0"/>
            <w:vAlign w:val="center"/>
          </w:tcPr>
          <w:p>
            <w:pPr>
              <w:pStyle w:val="16"/>
              <w:spacing w:before="73" w:line="284" w:lineRule="exact"/>
              <w:ind w:left="103" w:right="250"/>
              <w:jc w:val="center"/>
              <w:rPr>
                <w:rFonts w:hint="eastAsia" w:ascii="仿宋_GB2312" w:hAnsi="仿宋_GB2312" w:eastAsia="仿宋_GB2312" w:cs="仿宋_GB2312"/>
                <w:sz w:val="22"/>
                <w:szCs w:val="22"/>
                <w:lang w:val="en-US" w:eastAsia="zh-CN"/>
              </w:rPr>
            </w:pPr>
            <w:r>
              <w:rPr>
                <w:rFonts w:hint="eastAsia" w:ascii="仿宋_GB2312" w:hAnsi="仿宋_GB2312" w:eastAsia="仿宋_GB2312" w:cs="仿宋_GB2312"/>
                <w:sz w:val="22"/>
                <w:szCs w:val="22"/>
                <w:lang w:eastAsia="zh-CN"/>
              </w:rPr>
              <w:t>未提出招标人不能 接受的条件的</w:t>
            </w:r>
          </w:p>
        </w:tc>
      </w:tr>
      <w:tr>
        <w:tblPrEx>
          <w:tblCellMar>
            <w:top w:w="0" w:type="dxa"/>
            <w:left w:w="0" w:type="dxa"/>
            <w:bottom w:w="0" w:type="dxa"/>
            <w:right w:w="0" w:type="dxa"/>
          </w:tblCellMar>
        </w:tblPrEx>
        <w:trPr>
          <w:trHeight w:val="1473" w:hRule="exact"/>
        </w:trPr>
        <w:tc>
          <w:tcPr>
            <w:tcW w:w="850" w:type="dxa"/>
            <w:tcBorders>
              <w:top w:val="single" w:color="000000" w:sz="4" w:space="0"/>
              <w:left w:val="single" w:color="000000" w:sz="4" w:space="0"/>
              <w:bottom w:val="single" w:color="000000" w:sz="4" w:space="0"/>
              <w:right w:val="single" w:color="000000" w:sz="4" w:space="0"/>
            </w:tcBorders>
            <w:noWrap w:val="0"/>
            <w:vAlign w:val="center"/>
          </w:tcPr>
          <w:p>
            <w:pPr>
              <w:pStyle w:val="16"/>
              <w:spacing w:before="174"/>
              <w:jc w:val="center"/>
              <w:rPr>
                <w:rFonts w:hint="eastAsia" w:ascii="宋体" w:hAnsi="宋体" w:eastAsia="宋体" w:cs="宋体"/>
                <w:sz w:val="21"/>
                <w:szCs w:val="21"/>
                <w:lang w:eastAsia="zh-CN"/>
              </w:rPr>
            </w:pPr>
            <w:r>
              <w:rPr>
                <w:rFonts w:hint="eastAsia" w:ascii="宋体"/>
                <w:sz w:val="21"/>
                <w:szCs w:val="21"/>
                <w:lang w:val="en-US" w:eastAsia="zh-CN"/>
              </w:rPr>
              <w:t>7</w:t>
            </w:r>
          </w:p>
        </w:tc>
        <w:tc>
          <w:tcPr>
            <w:tcW w:w="5684" w:type="dxa"/>
            <w:tcBorders>
              <w:top w:val="single" w:color="000000" w:sz="4" w:space="0"/>
              <w:left w:val="single" w:color="000000" w:sz="4" w:space="0"/>
              <w:bottom w:val="single" w:color="000000" w:sz="4" w:space="0"/>
              <w:right w:val="single" w:color="000000" w:sz="4" w:space="0"/>
            </w:tcBorders>
            <w:noWrap w:val="0"/>
            <w:vAlign w:val="center"/>
          </w:tcPr>
          <w:p>
            <w:pPr>
              <w:pStyle w:val="16"/>
              <w:spacing w:line="252" w:lineRule="exact"/>
              <w:ind w:left="103"/>
              <w:jc w:val="left"/>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eastAsia="zh-CN"/>
              </w:rPr>
              <w:t>投标报价：</w:t>
            </w:r>
          </w:p>
          <w:p>
            <w:pPr>
              <w:pStyle w:val="16"/>
              <w:spacing w:before="1" w:line="237" w:lineRule="auto"/>
              <w:ind w:right="221"/>
              <w:jc w:val="left"/>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(1)</w:t>
            </w:r>
            <w:r>
              <w:rPr>
                <w:rFonts w:hint="eastAsia" w:ascii="仿宋_GB2312" w:hAnsi="仿宋_GB2312" w:eastAsia="仿宋_GB2312" w:cs="仿宋_GB2312"/>
                <w:sz w:val="22"/>
                <w:szCs w:val="22"/>
                <w:lang w:eastAsia="zh-CN"/>
              </w:rPr>
              <w:t>投标函中的大写报价不大于本标段招标控制价总价；</w:t>
            </w:r>
          </w:p>
          <w:p>
            <w:pPr>
              <w:pStyle w:val="16"/>
              <w:spacing w:before="30" w:line="284" w:lineRule="exact"/>
              <w:ind w:right="221"/>
              <w:jc w:val="left"/>
              <w:rPr>
                <w:rFonts w:hint="eastAsia" w:ascii="仿宋_GB2312" w:hAnsi="仿宋_GB2312" w:eastAsia="仿宋_GB2312" w:cs="仿宋_GB2312"/>
                <w:sz w:val="22"/>
                <w:szCs w:val="22"/>
                <w:lang w:eastAsia="zh-CN"/>
              </w:rPr>
            </w:pPr>
            <w:r>
              <w:rPr>
                <w:rFonts w:hint="eastAsia" w:ascii="仿宋_GB2312" w:hAnsi="仿宋_GB2312" w:eastAsia="仿宋_GB2312" w:cs="仿宋_GB2312"/>
                <w:spacing w:val="-2"/>
                <w:sz w:val="22"/>
                <w:szCs w:val="22"/>
                <w:lang w:val="en-US" w:eastAsia="zh-CN"/>
              </w:rPr>
              <w:t>(2)</w:t>
            </w:r>
            <w:r>
              <w:rPr>
                <w:rFonts w:hint="eastAsia" w:ascii="仿宋_GB2312" w:hAnsi="仿宋_GB2312" w:eastAsia="仿宋_GB2312" w:cs="仿宋_GB2312"/>
                <w:spacing w:val="-2"/>
                <w:sz w:val="22"/>
                <w:szCs w:val="22"/>
                <w:lang w:eastAsia="zh-CN"/>
              </w:rPr>
              <w:t>算术错误修正后的投标总报价不大于本标段招标控制</w:t>
            </w:r>
            <w:r>
              <w:rPr>
                <w:rFonts w:hint="eastAsia" w:ascii="仿宋_GB2312" w:hAnsi="仿宋_GB2312" w:eastAsia="仿宋_GB2312" w:cs="仿宋_GB2312"/>
                <w:spacing w:val="-76"/>
                <w:sz w:val="22"/>
                <w:szCs w:val="22"/>
                <w:lang w:eastAsia="zh-CN"/>
              </w:rPr>
              <w:t xml:space="preserve"> </w:t>
            </w:r>
            <w:r>
              <w:rPr>
                <w:rFonts w:hint="eastAsia" w:ascii="仿宋_GB2312" w:hAnsi="仿宋_GB2312" w:eastAsia="仿宋_GB2312" w:cs="仿宋_GB2312"/>
                <w:sz w:val="22"/>
                <w:szCs w:val="22"/>
                <w:lang w:eastAsia="zh-CN"/>
              </w:rPr>
              <w:t>价总价；</w:t>
            </w:r>
          </w:p>
          <w:p>
            <w:pPr>
              <w:pStyle w:val="16"/>
              <w:spacing w:line="260" w:lineRule="exact"/>
              <w:jc w:val="left"/>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(3)</w:t>
            </w:r>
            <w:r>
              <w:rPr>
                <w:rFonts w:hint="eastAsia" w:ascii="仿宋_GB2312" w:hAnsi="仿宋_GB2312" w:eastAsia="仿宋_GB2312" w:cs="仿宋_GB2312"/>
                <w:sz w:val="22"/>
                <w:szCs w:val="22"/>
                <w:lang w:eastAsia="zh-CN"/>
              </w:rPr>
              <w:t>投标报价不低于其成本。</w:t>
            </w:r>
          </w:p>
        </w:tc>
        <w:tc>
          <w:tcPr>
            <w:tcW w:w="2113" w:type="dxa"/>
            <w:tcBorders>
              <w:top w:val="single" w:color="000000" w:sz="4" w:space="0"/>
              <w:left w:val="single" w:color="000000" w:sz="4" w:space="0"/>
              <w:bottom w:val="single" w:color="000000" w:sz="4" w:space="0"/>
              <w:right w:val="single" w:color="000000" w:sz="4" w:space="0"/>
            </w:tcBorders>
            <w:noWrap w:val="0"/>
            <w:vAlign w:val="center"/>
          </w:tcPr>
          <w:p>
            <w:pPr>
              <w:pStyle w:val="16"/>
              <w:ind w:left="103"/>
              <w:jc w:val="center"/>
              <w:rPr>
                <w:rFonts w:hint="eastAsia" w:ascii="仿宋_GB2312" w:hAnsi="仿宋_GB2312" w:eastAsia="仿宋_GB2312" w:cs="仿宋_GB2312"/>
                <w:sz w:val="22"/>
                <w:szCs w:val="22"/>
              </w:rPr>
            </w:pPr>
          </w:p>
          <w:p>
            <w:pPr>
              <w:pStyle w:val="16"/>
              <w:ind w:left="103"/>
              <w:jc w:val="center"/>
              <w:rPr>
                <w:rFonts w:hint="eastAsia" w:ascii="仿宋_GB2312" w:hAnsi="仿宋_GB2312" w:eastAsia="仿宋_GB2312" w:cs="仿宋_GB2312"/>
                <w:sz w:val="22"/>
                <w:szCs w:val="22"/>
              </w:rPr>
            </w:pPr>
            <w:r>
              <w:rPr>
                <w:rFonts w:hint="eastAsia" w:ascii="仿宋_GB2312" w:hAnsi="仿宋_GB2312" w:eastAsia="仿宋_GB2312" w:cs="仿宋_GB2312"/>
                <w:sz w:val="22"/>
                <w:szCs w:val="22"/>
              </w:rPr>
              <w:t>符合要求</w:t>
            </w:r>
          </w:p>
        </w:tc>
      </w:tr>
      <w:tr>
        <w:tblPrEx>
          <w:tblCellMar>
            <w:top w:w="0" w:type="dxa"/>
            <w:left w:w="0" w:type="dxa"/>
            <w:bottom w:w="0" w:type="dxa"/>
            <w:right w:w="0" w:type="dxa"/>
          </w:tblCellMar>
        </w:tblPrEx>
        <w:trPr>
          <w:trHeight w:val="1068" w:hRule="exact"/>
        </w:trPr>
        <w:tc>
          <w:tcPr>
            <w:tcW w:w="850" w:type="dxa"/>
            <w:tcBorders>
              <w:top w:val="single" w:color="auto" w:sz="4" w:space="0"/>
              <w:left w:val="single" w:color="auto" w:sz="4" w:space="0"/>
              <w:bottom w:val="single" w:color="auto" w:sz="4" w:space="0"/>
              <w:right w:val="single" w:color="auto" w:sz="4" w:space="0"/>
            </w:tcBorders>
            <w:noWrap w:val="0"/>
            <w:vAlign w:val="center"/>
          </w:tcPr>
          <w:p>
            <w:pPr>
              <w:pStyle w:val="16"/>
              <w:spacing w:before="176"/>
              <w:jc w:val="center"/>
              <w:rPr>
                <w:rFonts w:hint="default" w:ascii="宋体" w:hAnsi="宋体" w:eastAsia="宋体" w:cs="宋体"/>
                <w:sz w:val="21"/>
                <w:szCs w:val="21"/>
                <w:lang w:val="en-US" w:eastAsia="zh-CN"/>
              </w:rPr>
            </w:pPr>
            <w:r>
              <w:rPr>
                <w:rFonts w:hint="eastAsia" w:ascii="宋体" w:eastAsia="宋体"/>
                <w:sz w:val="21"/>
                <w:szCs w:val="21"/>
                <w:lang w:val="en-US" w:eastAsia="zh-CN"/>
              </w:rPr>
              <w:t>8</w:t>
            </w:r>
          </w:p>
        </w:tc>
        <w:tc>
          <w:tcPr>
            <w:tcW w:w="7797" w:type="dxa"/>
            <w:gridSpan w:val="2"/>
            <w:tcBorders>
              <w:top w:val="single" w:color="auto" w:sz="4" w:space="0"/>
              <w:left w:val="single" w:color="auto" w:sz="4" w:space="0"/>
              <w:bottom w:val="single" w:color="auto" w:sz="4" w:space="0"/>
              <w:right w:val="single" w:color="auto" w:sz="4" w:space="0"/>
            </w:tcBorders>
            <w:noWrap w:val="0"/>
            <w:vAlign w:val="center"/>
          </w:tcPr>
          <w:p>
            <w:pPr>
              <w:pStyle w:val="16"/>
              <w:spacing w:line="253" w:lineRule="exact"/>
              <w:ind w:left="103"/>
              <w:jc w:val="left"/>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eastAsia="zh-CN"/>
              </w:rPr>
              <w:t>投标人不得存在的其他情形：</w:t>
            </w:r>
          </w:p>
          <w:p>
            <w:pPr>
              <w:pStyle w:val="16"/>
              <w:numPr>
                <w:ilvl w:val="0"/>
                <w:numId w:val="0"/>
              </w:numPr>
              <w:spacing w:line="253" w:lineRule="exact"/>
              <w:jc w:val="left"/>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(1)</w:t>
            </w:r>
            <w:r>
              <w:rPr>
                <w:rFonts w:hint="eastAsia" w:ascii="仿宋_GB2312" w:hAnsi="仿宋_GB2312" w:eastAsia="仿宋_GB2312" w:cs="仿宋_GB2312"/>
                <w:sz w:val="22"/>
                <w:szCs w:val="22"/>
                <w:lang w:eastAsia="zh-CN"/>
              </w:rPr>
              <w:t>串通投标、弄虚作假、行贿或有其他违法行为的；</w:t>
            </w:r>
          </w:p>
          <w:p>
            <w:pPr>
              <w:pStyle w:val="16"/>
              <w:numPr>
                <w:ilvl w:val="0"/>
                <w:numId w:val="0"/>
              </w:numPr>
              <w:spacing w:line="253" w:lineRule="exact"/>
              <w:jc w:val="left"/>
              <w:rPr>
                <w:rFonts w:ascii="宋体" w:hAnsi="宋体" w:eastAsia="宋体" w:cs="宋体"/>
                <w:sz w:val="21"/>
                <w:szCs w:val="21"/>
                <w:lang w:eastAsia="zh-CN"/>
              </w:rPr>
            </w:pPr>
            <w:r>
              <w:rPr>
                <w:rFonts w:hint="eastAsia" w:ascii="仿宋_GB2312" w:hAnsi="仿宋_GB2312" w:eastAsia="仿宋_GB2312" w:cs="仿宋_GB2312"/>
                <w:sz w:val="22"/>
                <w:szCs w:val="22"/>
                <w:lang w:val="en-US" w:eastAsia="zh-CN"/>
              </w:rPr>
              <w:t>(2)</w:t>
            </w:r>
            <w:r>
              <w:rPr>
                <w:rFonts w:hint="eastAsia" w:ascii="仿宋_GB2312" w:hAnsi="仿宋_GB2312" w:eastAsia="仿宋_GB2312" w:cs="仿宋_GB2312"/>
                <w:sz w:val="22"/>
                <w:szCs w:val="22"/>
                <w:lang w:eastAsia="zh-CN"/>
              </w:rPr>
              <w:t>不按评标委员会要求澄清、说明或补正的。</w:t>
            </w:r>
          </w:p>
        </w:tc>
      </w:tr>
    </w:tbl>
    <w:p>
      <w:pPr>
        <w:ind w:firstLine="640"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注：资格审查合格的投标人才进进入详细评审。</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00"/>
        <w:jc w:val="left"/>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二、详细评审</w:t>
      </w:r>
    </w:p>
    <w:p>
      <w:pPr>
        <w:ind w:firstLine="640" w:firstLineChars="200"/>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（一）说明：</w:t>
      </w: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1.评标委员会只对有效投标人的有效投标文件进行评审。</w:t>
      </w: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2.本工程采用综合百分评估法评分，由投标报价、商务、技术组成。经评审后向招标人推荐三名中标候选人的一种评标办法。</w:t>
      </w: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3.按投标人投标文件送达的先后顺序开标。投标人的投标报价超过招标控制价的为废标。评标委员会将只对通过初步评审的投标文件进行评价和比较。</w:t>
      </w:r>
    </w:p>
    <w:p>
      <w:pPr>
        <w:ind w:firstLine="640" w:firstLineChars="200"/>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（二）评分办法：</w:t>
      </w:r>
    </w:p>
    <w:tbl>
      <w:tblPr>
        <w:tblStyle w:val="13"/>
        <w:tblW w:w="1039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29"/>
        <w:gridCol w:w="1393"/>
        <w:gridCol w:w="939"/>
        <w:gridCol w:w="69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35" w:type="dxa"/>
            <w:noWrap w:val="0"/>
            <w:vAlign w:val="center"/>
          </w:tcPr>
          <w:p>
            <w:pPr>
              <w:spacing w:line="360" w:lineRule="auto"/>
              <w:jc w:val="center"/>
              <w:rPr>
                <w:rFonts w:ascii="宋体" w:hAnsi="宋体" w:cs="宋体"/>
                <w:b/>
                <w:color w:val="auto"/>
                <w:szCs w:val="21"/>
                <w:highlight w:val="none"/>
              </w:rPr>
            </w:pPr>
            <w:r>
              <w:rPr>
                <w:rFonts w:hint="eastAsia" w:ascii="宋体" w:hAnsi="宋体" w:cs="宋体"/>
                <w:b/>
                <w:color w:val="auto"/>
                <w:szCs w:val="21"/>
                <w:highlight w:val="none"/>
              </w:rPr>
              <w:t>评审项目</w:t>
            </w:r>
          </w:p>
        </w:tc>
        <w:tc>
          <w:tcPr>
            <w:tcW w:w="1406" w:type="dxa"/>
            <w:noWrap w:val="0"/>
            <w:vAlign w:val="center"/>
          </w:tcPr>
          <w:p>
            <w:pPr>
              <w:spacing w:line="360" w:lineRule="auto"/>
              <w:jc w:val="center"/>
              <w:rPr>
                <w:rFonts w:ascii="宋体" w:hAnsi="宋体" w:cs="宋体"/>
                <w:color w:val="auto"/>
                <w:szCs w:val="21"/>
                <w:highlight w:val="none"/>
              </w:rPr>
            </w:pPr>
            <w:r>
              <w:rPr>
                <w:rFonts w:hint="eastAsia" w:ascii="宋体" w:hAnsi="宋体" w:cs="宋体"/>
                <w:b/>
                <w:color w:val="auto"/>
                <w:szCs w:val="21"/>
                <w:highlight w:val="none"/>
              </w:rPr>
              <w:t>评审分项</w:t>
            </w:r>
          </w:p>
        </w:tc>
        <w:tc>
          <w:tcPr>
            <w:tcW w:w="849" w:type="dxa"/>
            <w:noWrap w:val="0"/>
            <w:vAlign w:val="center"/>
          </w:tcPr>
          <w:p>
            <w:pPr>
              <w:spacing w:line="360" w:lineRule="auto"/>
              <w:jc w:val="center"/>
              <w:rPr>
                <w:rFonts w:ascii="宋体" w:hAnsi="宋体" w:cs="宋体"/>
                <w:color w:val="auto"/>
                <w:szCs w:val="21"/>
                <w:highlight w:val="none"/>
              </w:rPr>
            </w:pPr>
            <w:r>
              <w:rPr>
                <w:rFonts w:hint="eastAsia" w:ascii="宋体" w:hAnsi="宋体" w:cs="宋体"/>
                <w:b/>
                <w:color w:val="auto"/>
                <w:szCs w:val="21"/>
                <w:highlight w:val="none"/>
              </w:rPr>
              <w:t>分值（分）</w:t>
            </w:r>
          </w:p>
        </w:tc>
        <w:tc>
          <w:tcPr>
            <w:tcW w:w="7000" w:type="dxa"/>
            <w:noWrap w:val="0"/>
            <w:vAlign w:val="center"/>
          </w:tcPr>
          <w:p>
            <w:pPr>
              <w:spacing w:line="360" w:lineRule="auto"/>
              <w:jc w:val="center"/>
              <w:rPr>
                <w:rFonts w:ascii="宋体" w:hAnsi="宋体" w:cs="宋体"/>
                <w:color w:val="auto"/>
                <w:szCs w:val="21"/>
                <w:highlight w:val="none"/>
              </w:rPr>
            </w:pPr>
            <w:r>
              <w:rPr>
                <w:rFonts w:hint="eastAsia" w:ascii="宋体" w:hAnsi="宋体" w:cs="宋体"/>
                <w:b/>
                <w:color w:val="auto"/>
                <w:szCs w:val="21"/>
                <w:highlight w:val="none"/>
              </w:rPr>
              <w:t>评分细标准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35" w:type="dxa"/>
            <w:noWrap w:val="0"/>
            <w:vAlign w:val="center"/>
          </w:tcPr>
          <w:p>
            <w:pPr>
              <w:adjustRightInd w:val="0"/>
              <w:snapToGrid w:val="0"/>
              <w:jc w:val="center"/>
              <w:rPr>
                <w:rFonts w:hint="eastAsia" w:ascii="宋体" w:hAnsi="宋体" w:eastAsia="宋体" w:cs="宋体"/>
                <w:color w:val="auto"/>
                <w:spacing w:val="-8"/>
                <w:kern w:val="2"/>
                <w:sz w:val="21"/>
                <w:szCs w:val="21"/>
                <w:highlight w:val="none"/>
                <w:lang w:val="en-US" w:eastAsia="zh-CN" w:bidi="ar-SA"/>
              </w:rPr>
            </w:pPr>
            <w:r>
              <w:rPr>
                <w:rFonts w:hint="eastAsia" w:ascii="宋体" w:hAnsi="宋体" w:eastAsia="宋体" w:cs="宋体"/>
                <w:color w:val="auto"/>
                <w:spacing w:val="-8"/>
                <w:szCs w:val="21"/>
                <w:highlight w:val="none"/>
              </w:rPr>
              <w:t>价格部分(20分)</w:t>
            </w:r>
          </w:p>
        </w:tc>
        <w:tc>
          <w:tcPr>
            <w:tcW w:w="1406" w:type="dxa"/>
            <w:noWrap w:val="0"/>
            <w:vAlign w:val="center"/>
          </w:tcPr>
          <w:p>
            <w:pPr>
              <w:adjustRightInd w:val="0"/>
              <w:snapToGrid w:val="0"/>
              <w:jc w:val="center"/>
              <w:rPr>
                <w:rFonts w:hint="eastAsia" w:ascii="宋体" w:hAnsi="宋体" w:eastAsia="宋体" w:cs="宋体"/>
                <w:color w:val="auto"/>
                <w:spacing w:val="-8"/>
                <w:kern w:val="2"/>
                <w:sz w:val="21"/>
                <w:szCs w:val="21"/>
                <w:highlight w:val="none"/>
                <w:lang w:val="en-US" w:eastAsia="zh-CN" w:bidi="ar-SA"/>
              </w:rPr>
            </w:pPr>
            <w:r>
              <w:rPr>
                <w:rFonts w:hint="eastAsia" w:ascii="宋体" w:hAnsi="宋体" w:eastAsia="宋体" w:cs="宋体"/>
                <w:color w:val="auto"/>
                <w:spacing w:val="-8"/>
                <w:szCs w:val="21"/>
                <w:highlight w:val="none"/>
              </w:rPr>
              <w:t>报价得分</w:t>
            </w:r>
          </w:p>
        </w:tc>
        <w:tc>
          <w:tcPr>
            <w:tcW w:w="849" w:type="dxa"/>
            <w:noWrap w:val="0"/>
            <w:vAlign w:val="center"/>
          </w:tcPr>
          <w:p>
            <w:pPr>
              <w:adjustRightInd w:val="0"/>
              <w:snapToGrid w:val="0"/>
              <w:jc w:val="center"/>
              <w:rPr>
                <w:rFonts w:hint="eastAsia" w:ascii="宋体" w:hAnsi="宋体" w:eastAsia="宋体" w:cs="宋体"/>
                <w:color w:val="auto"/>
                <w:spacing w:val="-8"/>
                <w:kern w:val="2"/>
                <w:sz w:val="21"/>
                <w:szCs w:val="21"/>
                <w:highlight w:val="none"/>
                <w:lang w:val="en-US" w:eastAsia="zh-CN" w:bidi="ar-SA"/>
              </w:rPr>
            </w:pPr>
            <w:r>
              <w:rPr>
                <w:rFonts w:hint="eastAsia" w:ascii="宋体" w:hAnsi="宋体" w:eastAsia="宋体" w:cs="宋体"/>
                <w:color w:val="auto"/>
                <w:spacing w:val="-8"/>
                <w:szCs w:val="21"/>
                <w:highlight w:val="none"/>
              </w:rPr>
              <w:t>20分</w:t>
            </w:r>
          </w:p>
        </w:tc>
        <w:tc>
          <w:tcPr>
            <w:tcW w:w="7000" w:type="dxa"/>
            <w:noWrap w:val="0"/>
            <w:vAlign w:val="center"/>
          </w:tcPr>
          <w:p>
            <w:pPr>
              <w:adjustRightInd w:val="0"/>
              <w:snapToGrid w:val="0"/>
              <w:jc w:val="left"/>
              <w:rPr>
                <w:rFonts w:hint="eastAsia" w:ascii="宋体" w:hAnsi="宋体" w:eastAsia="宋体" w:cs="宋体"/>
                <w:color w:val="auto"/>
                <w:spacing w:val="-8"/>
                <w:szCs w:val="21"/>
                <w:highlight w:val="none"/>
              </w:rPr>
            </w:pPr>
            <w:r>
              <w:rPr>
                <w:rFonts w:hint="eastAsia" w:ascii="宋体" w:hAnsi="宋体" w:eastAsia="宋体" w:cs="宋体"/>
                <w:color w:val="auto"/>
                <w:spacing w:val="-8"/>
                <w:szCs w:val="21"/>
                <w:highlight w:val="none"/>
              </w:rPr>
              <w:t>基准价的确定办法为：若有效磋商大于五家，基准价为各有效磋商的磋商报价中，去掉一个最高报价和一个最低报价后的算术平均值。若有效磋商少于五家（含五家），则以所有有效磋商的磋商报价的算术平均值为基准价。报价得分为：</w:t>
            </w:r>
          </w:p>
          <w:p>
            <w:pPr>
              <w:adjustRightInd w:val="0"/>
              <w:snapToGrid w:val="0"/>
              <w:jc w:val="left"/>
              <w:rPr>
                <w:rFonts w:hint="eastAsia" w:ascii="宋体" w:hAnsi="宋体" w:eastAsia="宋体" w:cs="宋体"/>
                <w:color w:val="auto"/>
                <w:spacing w:val="-8"/>
                <w:szCs w:val="21"/>
                <w:highlight w:val="none"/>
              </w:rPr>
            </w:pPr>
            <w:r>
              <w:rPr>
                <w:rFonts w:hint="eastAsia" w:ascii="宋体" w:hAnsi="宋体" w:eastAsia="宋体" w:cs="宋体"/>
                <w:color w:val="auto"/>
                <w:spacing w:val="-8"/>
                <w:szCs w:val="21"/>
                <w:highlight w:val="none"/>
              </w:rPr>
              <w:t>（1）磋商报价低于基准价的,每低于1%扣0.2分；</w:t>
            </w:r>
          </w:p>
          <w:p>
            <w:pPr>
              <w:adjustRightInd w:val="0"/>
              <w:snapToGrid w:val="0"/>
              <w:jc w:val="left"/>
              <w:rPr>
                <w:rFonts w:hint="eastAsia" w:ascii="宋体" w:hAnsi="宋体" w:eastAsia="宋体" w:cs="宋体"/>
                <w:color w:val="auto"/>
                <w:spacing w:val="-8"/>
                <w:szCs w:val="21"/>
                <w:highlight w:val="none"/>
              </w:rPr>
            </w:pPr>
            <w:r>
              <w:rPr>
                <w:rFonts w:hint="eastAsia" w:ascii="宋体" w:hAnsi="宋体" w:eastAsia="宋体" w:cs="宋体"/>
                <w:color w:val="auto"/>
                <w:spacing w:val="-8"/>
                <w:szCs w:val="21"/>
                <w:highlight w:val="none"/>
              </w:rPr>
              <w:t>该项记分公式为：K=20-｛(Q-q)/Q｝×100×0.2(0≤K≤</w:t>
            </w:r>
            <w:r>
              <w:rPr>
                <w:rFonts w:hint="eastAsia" w:ascii="宋体" w:hAnsi="宋体" w:eastAsia="宋体" w:cs="宋体"/>
                <w:color w:val="auto"/>
                <w:spacing w:val="-8"/>
                <w:szCs w:val="21"/>
                <w:highlight w:val="none"/>
                <w:lang w:val="en-US" w:eastAsia="zh-CN"/>
              </w:rPr>
              <w:t>2</w:t>
            </w:r>
            <w:r>
              <w:rPr>
                <w:rFonts w:hint="eastAsia" w:ascii="宋体" w:hAnsi="宋体" w:eastAsia="宋体" w:cs="宋体"/>
                <w:color w:val="auto"/>
                <w:spacing w:val="-8"/>
                <w:szCs w:val="21"/>
                <w:highlight w:val="none"/>
              </w:rPr>
              <w:t>0)；</w:t>
            </w:r>
          </w:p>
          <w:p>
            <w:pPr>
              <w:adjustRightInd w:val="0"/>
              <w:snapToGrid w:val="0"/>
              <w:jc w:val="left"/>
              <w:rPr>
                <w:rFonts w:hint="eastAsia" w:ascii="宋体" w:hAnsi="宋体" w:eastAsia="宋体" w:cs="宋体"/>
                <w:color w:val="auto"/>
                <w:spacing w:val="-8"/>
                <w:szCs w:val="21"/>
                <w:highlight w:val="none"/>
              </w:rPr>
            </w:pPr>
            <w:r>
              <w:rPr>
                <w:rFonts w:hint="eastAsia" w:ascii="宋体" w:hAnsi="宋体" w:eastAsia="宋体" w:cs="宋体"/>
                <w:color w:val="auto"/>
                <w:spacing w:val="-8"/>
                <w:szCs w:val="21"/>
                <w:highlight w:val="none"/>
              </w:rPr>
              <w:t>（2）磋商报价高于基准价的,每高于1%扣0.5分；</w:t>
            </w:r>
          </w:p>
          <w:p>
            <w:pPr>
              <w:adjustRightInd w:val="0"/>
              <w:snapToGrid w:val="0"/>
              <w:jc w:val="left"/>
              <w:rPr>
                <w:rFonts w:hint="eastAsia" w:ascii="宋体" w:hAnsi="宋体" w:eastAsia="宋体" w:cs="宋体"/>
                <w:color w:val="auto"/>
                <w:spacing w:val="-8"/>
                <w:szCs w:val="21"/>
                <w:highlight w:val="none"/>
              </w:rPr>
            </w:pPr>
            <w:r>
              <w:rPr>
                <w:rFonts w:hint="eastAsia" w:ascii="宋体" w:hAnsi="宋体" w:eastAsia="宋体" w:cs="宋体"/>
                <w:color w:val="auto"/>
                <w:spacing w:val="-8"/>
                <w:szCs w:val="21"/>
                <w:highlight w:val="none"/>
              </w:rPr>
              <w:t>该项记分公式为：K=20+｛(Q-q)/Q｝×100×0.5（0≤K≤</w:t>
            </w:r>
            <w:r>
              <w:rPr>
                <w:rFonts w:hint="eastAsia" w:ascii="宋体" w:hAnsi="宋体" w:eastAsia="宋体" w:cs="宋体"/>
                <w:color w:val="auto"/>
                <w:spacing w:val="-8"/>
                <w:szCs w:val="21"/>
                <w:highlight w:val="none"/>
                <w:lang w:val="en-US" w:eastAsia="zh-CN"/>
              </w:rPr>
              <w:t>2</w:t>
            </w:r>
            <w:r>
              <w:rPr>
                <w:rFonts w:hint="eastAsia" w:ascii="宋体" w:hAnsi="宋体" w:eastAsia="宋体" w:cs="宋体"/>
                <w:color w:val="auto"/>
                <w:spacing w:val="-8"/>
                <w:szCs w:val="21"/>
                <w:highlight w:val="none"/>
              </w:rPr>
              <w:t>0)；</w:t>
            </w:r>
          </w:p>
          <w:p>
            <w:pPr>
              <w:adjustRightInd w:val="0"/>
              <w:snapToGrid w:val="0"/>
              <w:jc w:val="left"/>
              <w:rPr>
                <w:rFonts w:hint="eastAsia" w:ascii="宋体" w:hAnsi="宋体" w:eastAsia="宋体" w:cs="宋体"/>
                <w:color w:val="auto"/>
                <w:spacing w:val="-8"/>
                <w:kern w:val="2"/>
                <w:sz w:val="21"/>
                <w:szCs w:val="21"/>
                <w:highlight w:val="none"/>
                <w:lang w:val="en-US" w:eastAsia="zh-CN" w:bidi="ar-SA"/>
              </w:rPr>
            </w:pPr>
            <w:r>
              <w:rPr>
                <w:rFonts w:hint="eastAsia" w:ascii="宋体" w:hAnsi="宋体" w:eastAsia="宋体" w:cs="宋体"/>
                <w:color w:val="auto"/>
                <w:spacing w:val="-8"/>
                <w:szCs w:val="21"/>
                <w:highlight w:val="none"/>
              </w:rPr>
              <w:t>以上公式中：q——评审价，Q——基准价（按四舍五入原则精确到小数点后两位）；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35" w:type="dxa"/>
            <w:vMerge w:val="restart"/>
            <w:noWrap w:val="0"/>
            <w:vAlign w:val="center"/>
          </w:tcPr>
          <w:p>
            <w:pPr>
              <w:spacing w:line="360" w:lineRule="auto"/>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商务部分（30分</w:t>
            </w:r>
            <w:r>
              <w:rPr>
                <w:rFonts w:hint="eastAsia" w:ascii="宋体" w:hAnsi="宋体" w:eastAsia="宋体" w:cs="宋体"/>
                <w:color w:val="auto"/>
                <w:kern w:val="0"/>
                <w:highlight w:val="none"/>
              </w:rPr>
              <w:t>）</w:t>
            </w:r>
          </w:p>
        </w:tc>
        <w:tc>
          <w:tcPr>
            <w:tcW w:w="1406" w:type="dxa"/>
            <w:noWrap w:val="0"/>
            <w:vAlign w:val="center"/>
          </w:tcPr>
          <w:p>
            <w:pPr>
              <w:adjustRightInd w:val="0"/>
              <w:snapToGrid w:val="0"/>
              <w:jc w:val="center"/>
              <w:rPr>
                <w:rFonts w:hint="eastAsia" w:ascii="宋体" w:hAnsi="宋体" w:eastAsia="宋体" w:cs="宋体"/>
                <w:color w:val="auto"/>
                <w:spacing w:val="-8"/>
                <w:szCs w:val="21"/>
                <w:highlight w:val="none"/>
              </w:rPr>
            </w:pPr>
            <w:r>
              <w:rPr>
                <w:rFonts w:hint="eastAsia" w:ascii="宋体" w:hAnsi="宋体" w:eastAsia="宋体" w:cs="宋体"/>
                <w:color w:val="auto"/>
                <w:spacing w:val="-8"/>
                <w:szCs w:val="21"/>
                <w:highlight w:val="none"/>
              </w:rPr>
              <w:t>企业业绩</w:t>
            </w:r>
          </w:p>
        </w:tc>
        <w:tc>
          <w:tcPr>
            <w:tcW w:w="849" w:type="dxa"/>
            <w:noWrap w:val="0"/>
            <w:vAlign w:val="center"/>
          </w:tcPr>
          <w:p>
            <w:pPr>
              <w:adjustRightInd w:val="0"/>
              <w:snapToGrid w:val="0"/>
              <w:jc w:val="center"/>
              <w:rPr>
                <w:rFonts w:hint="eastAsia" w:ascii="宋体" w:hAnsi="宋体" w:eastAsia="宋体" w:cs="宋体"/>
                <w:color w:val="auto"/>
                <w:spacing w:val="-8"/>
                <w:szCs w:val="21"/>
                <w:highlight w:val="none"/>
              </w:rPr>
            </w:pPr>
            <w:r>
              <w:rPr>
                <w:rFonts w:hint="eastAsia" w:ascii="宋体" w:hAnsi="宋体" w:eastAsia="宋体" w:cs="宋体"/>
                <w:color w:val="auto"/>
                <w:spacing w:val="-8"/>
                <w:szCs w:val="21"/>
                <w:highlight w:val="none"/>
              </w:rPr>
              <w:t>10</w:t>
            </w:r>
          </w:p>
        </w:tc>
        <w:tc>
          <w:tcPr>
            <w:tcW w:w="7000" w:type="dxa"/>
            <w:noWrap w:val="0"/>
            <w:vAlign w:val="center"/>
          </w:tcPr>
          <w:p>
            <w:pPr>
              <w:adjustRightInd w:val="0"/>
              <w:snapToGrid w:val="0"/>
              <w:rPr>
                <w:rFonts w:hint="eastAsia" w:ascii="宋体" w:hAnsi="宋体" w:eastAsia="宋体" w:cs="宋体"/>
                <w:color w:val="auto"/>
                <w:spacing w:val="-8"/>
                <w:szCs w:val="21"/>
                <w:highlight w:val="none"/>
              </w:rPr>
            </w:pPr>
            <w:r>
              <w:rPr>
                <w:rFonts w:hint="eastAsia" w:ascii="宋体" w:hAnsi="宋体" w:eastAsia="宋体" w:cs="宋体"/>
                <w:color w:val="auto"/>
                <w:spacing w:val="-8"/>
                <w:szCs w:val="21"/>
                <w:highlight w:val="none"/>
                <w:lang w:eastAsia="zh-CN"/>
              </w:rPr>
              <w:t>投标人</w:t>
            </w:r>
            <w:r>
              <w:rPr>
                <w:rFonts w:hint="eastAsia" w:ascii="宋体" w:hAnsi="宋体" w:eastAsia="宋体" w:cs="宋体"/>
                <w:color w:val="auto"/>
                <w:spacing w:val="-8"/>
                <w:szCs w:val="21"/>
                <w:highlight w:val="none"/>
              </w:rPr>
              <w:t>近三年（自磋商响应文件递交截止时间前36个月，以合同签订时间为准）每承接过一项</w:t>
            </w:r>
            <w:r>
              <w:rPr>
                <w:rFonts w:hint="eastAsia" w:ascii="宋体" w:hAnsi="宋体" w:cs="宋体"/>
                <w:color w:val="auto"/>
                <w:spacing w:val="-8"/>
                <w:szCs w:val="21"/>
                <w:highlight w:val="none"/>
                <w:lang w:val="en-US" w:eastAsia="zh-CN"/>
              </w:rPr>
              <w:t>资产评估</w:t>
            </w:r>
            <w:r>
              <w:rPr>
                <w:rFonts w:hint="eastAsia" w:ascii="宋体" w:hAnsi="宋体" w:eastAsia="宋体" w:cs="宋体"/>
                <w:color w:val="auto"/>
                <w:spacing w:val="-8"/>
                <w:szCs w:val="21"/>
                <w:highlight w:val="none"/>
              </w:rPr>
              <w:t>项目得2分，最高得1</w:t>
            </w:r>
            <w:r>
              <w:rPr>
                <w:rFonts w:hint="eastAsia" w:ascii="宋体" w:hAnsi="宋体" w:eastAsia="宋体" w:cs="宋体"/>
                <w:color w:val="auto"/>
                <w:spacing w:val="-8"/>
                <w:szCs w:val="21"/>
                <w:highlight w:val="none"/>
                <w:lang w:val="en-US" w:eastAsia="zh-CN"/>
              </w:rPr>
              <w:t>0</w:t>
            </w:r>
            <w:r>
              <w:rPr>
                <w:rFonts w:hint="eastAsia" w:ascii="宋体" w:hAnsi="宋体" w:eastAsia="宋体" w:cs="宋体"/>
                <w:color w:val="auto"/>
                <w:spacing w:val="-8"/>
                <w:szCs w:val="21"/>
                <w:highlight w:val="none"/>
              </w:rPr>
              <w:t>分。须提供相关合同(含合同首页、标的页、签字页等关键内容)复印件加盖公章。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35" w:type="dxa"/>
            <w:vMerge w:val="continue"/>
            <w:noWrap w:val="0"/>
            <w:vAlign w:val="center"/>
          </w:tcPr>
          <w:p>
            <w:pPr>
              <w:spacing w:line="360" w:lineRule="auto"/>
              <w:jc w:val="center"/>
              <w:rPr>
                <w:rFonts w:hint="eastAsia" w:ascii="宋体" w:hAnsi="宋体" w:eastAsia="宋体" w:cs="宋体"/>
                <w:color w:val="auto"/>
                <w:kern w:val="0"/>
                <w:szCs w:val="21"/>
                <w:highlight w:val="none"/>
              </w:rPr>
            </w:pPr>
          </w:p>
        </w:tc>
        <w:tc>
          <w:tcPr>
            <w:tcW w:w="1406" w:type="dxa"/>
            <w:noWrap w:val="0"/>
            <w:vAlign w:val="center"/>
          </w:tcPr>
          <w:p>
            <w:pPr>
              <w:adjustRightInd w:val="0"/>
              <w:snapToGrid w:val="0"/>
              <w:jc w:val="center"/>
              <w:rPr>
                <w:rFonts w:hint="eastAsia" w:ascii="宋体" w:hAnsi="宋体" w:eastAsia="宋体" w:cs="宋体"/>
                <w:color w:val="auto"/>
                <w:spacing w:val="-8"/>
                <w:szCs w:val="21"/>
                <w:highlight w:val="none"/>
              </w:rPr>
            </w:pPr>
            <w:r>
              <w:rPr>
                <w:rFonts w:hint="eastAsia" w:ascii="宋体" w:hAnsi="宋体" w:eastAsia="宋体" w:cs="宋体"/>
                <w:color w:val="auto"/>
                <w:spacing w:val="-8"/>
                <w:szCs w:val="21"/>
                <w:highlight w:val="none"/>
              </w:rPr>
              <w:t>项目负责人</w:t>
            </w:r>
          </w:p>
        </w:tc>
        <w:tc>
          <w:tcPr>
            <w:tcW w:w="849" w:type="dxa"/>
            <w:noWrap w:val="0"/>
            <w:vAlign w:val="center"/>
          </w:tcPr>
          <w:p>
            <w:pPr>
              <w:adjustRightInd w:val="0"/>
              <w:snapToGrid w:val="0"/>
              <w:jc w:val="center"/>
              <w:rPr>
                <w:rFonts w:hint="eastAsia" w:ascii="宋体" w:hAnsi="宋体" w:eastAsia="宋体" w:cs="宋体"/>
                <w:color w:val="auto"/>
                <w:spacing w:val="-8"/>
                <w:szCs w:val="21"/>
                <w:highlight w:val="none"/>
              </w:rPr>
            </w:pPr>
            <w:r>
              <w:rPr>
                <w:rFonts w:hint="eastAsia" w:ascii="宋体" w:hAnsi="宋体" w:eastAsia="宋体" w:cs="宋体"/>
                <w:color w:val="auto"/>
                <w:spacing w:val="-8"/>
                <w:szCs w:val="21"/>
                <w:highlight w:val="none"/>
              </w:rPr>
              <w:t>10</w:t>
            </w:r>
          </w:p>
        </w:tc>
        <w:tc>
          <w:tcPr>
            <w:tcW w:w="7000" w:type="dxa"/>
            <w:noWrap w:val="0"/>
            <w:vAlign w:val="center"/>
          </w:tcPr>
          <w:p>
            <w:pPr>
              <w:adjustRightInd w:val="0"/>
              <w:snapToGrid w:val="0"/>
              <w:rPr>
                <w:rFonts w:hint="eastAsia" w:ascii="宋体" w:hAnsi="宋体" w:eastAsia="宋体" w:cs="宋体"/>
                <w:color w:val="auto"/>
                <w:spacing w:val="-8"/>
                <w:szCs w:val="21"/>
                <w:highlight w:val="none"/>
              </w:rPr>
            </w:pPr>
            <w:r>
              <w:rPr>
                <w:rFonts w:hint="eastAsia" w:ascii="宋体" w:hAnsi="宋体" w:eastAsia="宋体" w:cs="宋体"/>
                <w:color w:val="auto"/>
                <w:spacing w:val="-8"/>
                <w:szCs w:val="21"/>
                <w:highlight w:val="none"/>
              </w:rPr>
              <w:t>本项目项目负责人</w:t>
            </w:r>
          </w:p>
          <w:p>
            <w:pPr>
              <w:numPr>
                <w:ilvl w:val="0"/>
                <w:numId w:val="2"/>
              </w:numPr>
              <w:adjustRightInd w:val="0"/>
              <w:snapToGrid w:val="0"/>
              <w:ind w:left="0" w:leftChars="0" w:firstLine="224" w:firstLineChars="0"/>
              <w:rPr>
                <w:rFonts w:hint="eastAsia" w:ascii="宋体" w:hAnsi="宋体" w:eastAsia="宋体" w:cs="宋体"/>
                <w:color w:val="auto"/>
                <w:spacing w:val="-8"/>
                <w:szCs w:val="21"/>
                <w:highlight w:val="none"/>
              </w:rPr>
            </w:pPr>
            <w:r>
              <w:rPr>
                <w:rFonts w:hint="eastAsia" w:ascii="宋体" w:hAnsi="宋体" w:cs="宋体"/>
                <w:color w:val="auto"/>
                <w:spacing w:val="-8"/>
                <w:szCs w:val="21"/>
                <w:highlight w:val="none"/>
                <w:lang w:val="en-US" w:eastAsia="zh-CN"/>
              </w:rPr>
              <w:t>具备三年以上</w:t>
            </w:r>
            <w:r>
              <w:rPr>
                <w:rFonts w:ascii="PingFangSC-Regular" w:hAnsi="PingFangSC-Regular" w:eastAsia="PingFangSC-Regular" w:cs="PingFangSC-Regular"/>
                <w:i w:val="0"/>
                <w:iCs w:val="0"/>
                <w:caps w:val="0"/>
                <w:color w:val="1E1F24"/>
                <w:spacing w:val="3"/>
                <w:sz w:val="25"/>
                <w:szCs w:val="25"/>
                <w:shd w:val="clear" w:fill="FFFFFF"/>
              </w:rPr>
              <w:t>执业经历并能够专职执业的</w:t>
            </w:r>
            <w:r>
              <w:rPr>
                <w:rFonts w:hint="eastAsia" w:ascii="PingFangSC-Regular" w:hAnsi="PingFangSC-Regular" w:eastAsia="宋体" w:cs="PingFangSC-Regular"/>
                <w:i w:val="0"/>
                <w:iCs w:val="0"/>
                <w:caps w:val="0"/>
                <w:color w:val="1E1F24"/>
                <w:spacing w:val="3"/>
                <w:sz w:val="25"/>
                <w:szCs w:val="25"/>
                <w:shd w:val="clear" w:fill="FFFFFF"/>
                <w:lang w:val="en-US" w:eastAsia="zh-CN"/>
              </w:rPr>
              <w:t>注册资产评估</w:t>
            </w:r>
            <w:r>
              <w:rPr>
                <w:rFonts w:hint="eastAsia" w:ascii="PingFangSC-Regular" w:hAnsi="PingFangSC-Regular" w:cs="PingFangSC-Regular"/>
                <w:i w:val="0"/>
                <w:iCs w:val="0"/>
                <w:caps w:val="0"/>
                <w:color w:val="1E1F24"/>
                <w:spacing w:val="3"/>
                <w:sz w:val="25"/>
                <w:szCs w:val="25"/>
                <w:shd w:val="clear" w:fill="FFFFFF"/>
                <w:lang w:val="en-US" w:eastAsia="zh-CN"/>
              </w:rPr>
              <w:t>师</w:t>
            </w:r>
            <w:r>
              <w:rPr>
                <w:rFonts w:hint="eastAsia" w:ascii="宋体" w:hAnsi="宋体" w:eastAsia="宋体" w:cs="宋体"/>
                <w:color w:val="auto"/>
                <w:spacing w:val="-8"/>
                <w:szCs w:val="21"/>
                <w:highlight w:val="none"/>
              </w:rPr>
              <w:t>。</w:t>
            </w:r>
          </w:p>
          <w:p>
            <w:pPr>
              <w:pStyle w:val="2"/>
              <w:numPr>
                <w:ilvl w:val="0"/>
                <w:numId w:val="2"/>
              </w:numPr>
              <w:ind w:left="0" w:leftChars="0" w:firstLine="224" w:firstLineChars="0"/>
              <w:rPr>
                <w:rFonts w:hint="eastAsia" w:ascii="宋体" w:hAnsi="宋体" w:eastAsia="宋体" w:cs="宋体"/>
                <w:color w:val="auto"/>
                <w:spacing w:val="-8"/>
                <w:sz w:val="24"/>
                <w:szCs w:val="21"/>
                <w:highlight w:val="none"/>
                <w:lang w:val="en-US" w:eastAsia="zh-CN" w:bidi="ar-SA"/>
              </w:rPr>
            </w:pPr>
            <w:r>
              <w:rPr>
                <w:rFonts w:hint="eastAsia" w:ascii="宋体" w:hAnsi="宋体" w:eastAsia="宋体" w:cs="宋体"/>
                <w:color w:val="auto"/>
                <w:spacing w:val="-8"/>
                <w:sz w:val="24"/>
                <w:szCs w:val="21"/>
                <w:highlight w:val="none"/>
                <w:lang w:val="en-US" w:eastAsia="zh-CN" w:bidi="ar-SA"/>
              </w:rPr>
              <w:t>具有中级及以上职称</w:t>
            </w:r>
          </w:p>
          <w:p>
            <w:pPr>
              <w:adjustRightInd w:val="0"/>
              <w:snapToGrid w:val="0"/>
              <w:rPr>
                <w:rFonts w:hint="eastAsia" w:ascii="宋体" w:hAnsi="宋体" w:eastAsia="宋体" w:cs="宋体"/>
                <w:color w:val="auto"/>
                <w:spacing w:val="-8"/>
                <w:szCs w:val="21"/>
                <w:highlight w:val="none"/>
              </w:rPr>
            </w:pPr>
            <w:r>
              <w:rPr>
                <w:rFonts w:hint="eastAsia" w:ascii="宋体" w:hAnsi="宋体" w:eastAsia="宋体" w:cs="宋体"/>
                <w:color w:val="auto"/>
                <w:spacing w:val="-8"/>
                <w:szCs w:val="21"/>
                <w:highlight w:val="none"/>
              </w:rPr>
              <w:t>需提供相关人员有效的证明材料复印件。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9" w:hRule="atLeast"/>
          <w:jc w:val="center"/>
        </w:trPr>
        <w:tc>
          <w:tcPr>
            <w:tcW w:w="1135" w:type="dxa"/>
            <w:vMerge w:val="continue"/>
            <w:noWrap w:val="0"/>
            <w:vAlign w:val="center"/>
          </w:tcPr>
          <w:p>
            <w:pPr>
              <w:spacing w:line="360" w:lineRule="auto"/>
              <w:jc w:val="center"/>
              <w:rPr>
                <w:rFonts w:hint="eastAsia" w:ascii="宋体" w:hAnsi="宋体" w:eastAsia="宋体" w:cs="宋体"/>
                <w:color w:val="auto"/>
                <w:kern w:val="0"/>
                <w:szCs w:val="21"/>
                <w:highlight w:val="none"/>
              </w:rPr>
            </w:pPr>
          </w:p>
        </w:tc>
        <w:tc>
          <w:tcPr>
            <w:tcW w:w="1406" w:type="dxa"/>
            <w:noWrap w:val="0"/>
            <w:vAlign w:val="center"/>
          </w:tcPr>
          <w:p>
            <w:pPr>
              <w:adjustRightInd w:val="0"/>
              <w:snapToGrid w:val="0"/>
              <w:jc w:val="center"/>
              <w:rPr>
                <w:rFonts w:hint="eastAsia" w:ascii="宋体" w:hAnsi="宋体" w:eastAsia="宋体" w:cs="宋体"/>
                <w:color w:val="auto"/>
                <w:spacing w:val="-8"/>
                <w:szCs w:val="21"/>
                <w:highlight w:val="none"/>
              </w:rPr>
            </w:pPr>
            <w:r>
              <w:rPr>
                <w:rFonts w:hint="eastAsia" w:ascii="宋体" w:hAnsi="宋体" w:eastAsia="宋体" w:cs="宋体"/>
                <w:color w:val="auto"/>
                <w:spacing w:val="-8"/>
                <w:szCs w:val="21"/>
                <w:highlight w:val="none"/>
              </w:rPr>
              <w:t>成员结构与配置</w:t>
            </w:r>
          </w:p>
        </w:tc>
        <w:tc>
          <w:tcPr>
            <w:tcW w:w="849" w:type="dxa"/>
            <w:noWrap w:val="0"/>
            <w:vAlign w:val="center"/>
          </w:tcPr>
          <w:p>
            <w:pPr>
              <w:adjustRightInd w:val="0"/>
              <w:snapToGrid w:val="0"/>
              <w:jc w:val="center"/>
              <w:rPr>
                <w:rFonts w:hint="eastAsia" w:ascii="宋体" w:hAnsi="宋体" w:eastAsia="宋体" w:cs="宋体"/>
                <w:color w:val="auto"/>
                <w:spacing w:val="-8"/>
                <w:szCs w:val="21"/>
                <w:highlight w:val="none"/>
              </w:rPr>
            </w:pPr>
            <w:r>
              <w:rPr>
                <w:rFonts w:hint="eastAsia" w:ascii="宋体" w:hAnsi="宋体" w:eastAsia="宋体" w:cs="宋体"/>
                <w:color w:val="auto"/>
                <w:spacing w:val="-8"/>
                <w:szCs w:val="21"/>
                <w:highlight w:val="none"/>
              </w:rPr>
              <w:t>10</w:t>
            </w:r>
          </w:p>
        </w:tc>
        <w:tc>
          <w:tcPr>
            <w:tcW w:w="7000" w:type="dxa"/>
            <w:noWrap w:val="0"/>
            <w:vAlign w:val="center"/>
          </w:tcPr>
          <w:p>
            <w:pPr>
              <w:adjustRightInd w:val="0"/>
              <w:snapToGrid w:val="0"/>
              <w:rPr>
                <w:rFonts w:hint="eastAsia" w:ascii="宋体" w:hAnsi="宋体" w:eastAsia="宋体" w:cs="宋体"/>
                <w:color w:val="auto"/>
                <w:spacing w:val="-8"/>
                <w:szCs w:val="21"/>
                <w:highlight w:val="none"/>
              </w:rPr>
            </w:pPr>
            <w:r>
              <w:rPr>
                <w:rFonts w:hint="eastAsia" w:ascii="宋体" w:hAnsi="宋体" w:eastAsia="宋体" w:cs="宋体"/>
                <w:color w:val="auto"/>
                <w:spacing w:val="-8"/>
                <w:szCs w:val="21"/>
                <w:highlight w:val="none"/>
              </w:rPr>
              <w:t>本项目除项目负责人以外</w:t>
            </w:r>
          </w:p>
          <w:p>
            <w:pPr>
              <w:adjustRightInd w:val="0"/>
              <w:snapToGrid w:val="0"/>
              <w:rPr>
                <w:rFonts w:hint="eastAsia" w:ascii="宋体" w:hAnsi="宋体" w:eastAsia="宋体" w:cs="宋体"/>
                <w:color w:val="auto"/>
                <w:spacing w:val="-8"/>
                <w:szCs w:val="21"/>
                <w:highlight w:val="none"/>
              </w:rPr>
            </w:pPr>
            <w:r>
              <w:rPr>
                <w:rFonts w:hint="eastAsia" w:ascii="宋体" w:hAnsi="宋体" w:eastAsia="宋体" w:cs="宋体"/>
                <w:color w:val="auto"/>
                <w:spacing w:val="-8"/>
                <w:szCs w:val="21"/>
                <w:highlight w:val="none"/>
              </w:rPr>
              <w:t>（1）拟派项目组成员每增加一名持有相关</w:t>
            </w:r>
            <w:r>
              <w:rPr>
                <w:rFonts w:ascii="PingFangSC-Regular" w:hAnsi="PingFangSC-Regular" w:eastAsia="PingFangSC-Regular" w:cs="PingFangSC-Regular"/>
                <w:i w:val="0"/>
                <w:iCs w:val="0"/>
                <w:caps w:val="0"/>
                <w:color w:val="1E1F24"/>
                <w:spacing w:val="3"/>
                <w:sz w:val="25"/>
                <w:szCs w:val="25"/>
                <w:shd w:val="clear" w:fill="FFFFFF"/>
              </w:rPr>
              <w:t>执业</w:t>
            </w:r>
            <w:r>
              <w:rPr>
                <w:rFonts w:hint="eastAsia" w:ascii="PingFangSC-Regular" w:hAnsi="PingFangSC-Regular" w:eastAsia="宋体" w:cs="PingFangSC-Regular"/>
                <w:i w:val="0"/>
                <w:iCs w:val="0"/>
                <w:caps w:val="0"/>
                <w:color w:val="1E1F24"/>
                <w:spacing w:val="3"/>
                <w:sz w:val="25"/>
                <w:szCs w:val="25"/>
                <w:shd w:val="clear" w:fill="FFFFFF"/>
                <w:lang w:val="en-US" w:eastAsia="zh-CN"/>
              </w:rPr>
              <w:t>资格</w:t>
            </w:r>
            <w:r>
              <w:rPr>
                <w:rFonts w:ascii="PingFangSC-Regular" w:hAnsi="PingFangSC-Regular" w:eastAsia="PingFangSC-Regular" w:cs="PingFangSC-Regular"/>
                <w:i w:val="0"/>
                <w:iCs w:val="0"/>
                <w:caps w:val="0"/>
                <w:color w:val="1E1F24"/>
                <w:spacing w:val="3"/>
                <w:sz w:val="25"/>
                <w:szCs w:val="25"/>
                <w:shd w:val="clear" w:fill="FFFFFF"/>
              </w:rPr>
              <w:t>的</w:t>
            </w:r>
            <w:r>
              <w:rPr>
                <w:rFonts w:hint="eastAsia" w:ascii="PingFangSC-Regular" w:hAnsi="PingFangSC-Regular" w:eastAsia="宋体" w:cs="PingFangSC-Regular"/>
                <w:i w:val="0"/>
                <w:iCs w:val="0"/>
                <w:caps w:val="0"/>
                <w:color w:val="1E1F24"/>
                <w:spacing w:val="3"/>
                <w:sz w:val="25"/>
                <w:szCs w:val="25"/>
                <w:shd w:val="clear" w:fill="FFFFFF"/>
                <w:lang w:val="en-US" w:eastAsia="zh-CN"/>
              </w:rPr>
              <w:t>资产评估</w:t>
            </w:r>
            <w:r>
              <w:rPr>
                <w:rFonts w:hint="eastAsia" w:ascii="PingFangSC-Regular" w:hAnsi="PingFangSC-Regular" w:cs="PingFangSC-Regular"/>
                <w:i w:val="0"/>
                <w:iCs w:val="0"/>
                <w:caps w:val="0"/>
                <w:color w:val="1E1F24"/>
                <w:spacing w:val="3"/>
                <w:sz w:val="25"/>
                <w:szCs w:val="25"/>
                <w:shd w:val="clear" w:fill="FFFFFF"/>
                <w:lang w:val="en-US" w:eastAsia="zh-CN"/>
              </w:rPr>
              <w:t>师</w:t>
            </w:r>
            <w:r>
              <w:rPr>
                <w:rFonts w:hint="eastAsia" w:ascii="宋体" w:hAnsi="宋体" w:eastAsia="宋体" w:cs="宋体"/>
                <w:color w:val="auto"/>
                <w:spacing w:val="-8"/>
                <w:szCs w:val="21"/>
                <w:highlight w:val="none"/>
              </w:rPr>
              <w:t>的得2分，此项最多得6分；</w:t>
            </w:r>
          </w:p>
          <w:p>
            <w:pPr>
              <w:adjustRightInd w:val="0"/>
              <w:snapToGrid w:val="0"/>
              <w:rPr>
                <w:rFonts w:hint="eastAsia" w:ascii="宋体" w:hAnsi="宋体" w:eastAsia="宋体" w:cs="宋体"/>
                <w:color w:val="auto"/>
                <w:spacing w:val="-8"/>
                <w:szCs w:val="21"/>
                <w:highlight w:val="none"/>
              </w:rPr>
            </w:pPr>
            <w:r>
              <w:rPr>
                <w:rFonts w:hint="eastAsia" w:ascii="宋体" w:hAnsi="宋体" w:eastAsia="宋体" w:cs="宋体"/>
                <w:color w:val="auto"/>
                <w:spacing w:val="-8"/>
                <w:szCs w:val="21"/>
                <w:highlight w:val="none"/>
              </w:rPr>
              <w:t>（2）拟派项目组成员每增加一名持有相关专业</w:t>
            </w:r>
            <w:r>
              <w:rPr>
                <w:rFonts w:hint="eastAsia" w:ascii="宋体" w:hAnsi="宋体" w:cs="宋体"/>
                <w:color w:val="auto"/>
                <w:spacing w:val="-8"/>
                <w:szCs w:val="21"/>
                <w:highlight w:val="none"/>
                <w:lang w:val="en-US" w:eastAsia="zh-CN"/>
              </w:rPr>
              <w:t>初级</w:t>
            </w:r>
            <w:r>
              <w:rPr>
                <w:rFonts w:hint="eastAsia" w:ascii="宋体" w:hAnsi="宋体" w:eastAsia="宋体" w:cs="宋体"/>
                <w:color w:val="auto"/>
                <w:spacing w:val="-8"/>
                <w:szCs w:val="21"/>
                <w:highlight w:val="none"/>
              </w:rPr>
              <w:t>职业资格证书得2分，此项最多得4分；</w:t>
            </w:r>
          </w:p>
          <w:p>
            <w:pPr>
              <w:adjustRightInd w:val="0"/>
              <w:snapToGrid w:val="0"/>
              <w:rPr>
                <w:rFonts w:hint="eastAsia" w:ascii="宋体" w:hAnsi="宋体" w:eastAsia="宋体" w:cs="宋体"/>
                <w:color w:val="auto"/>
                <w:spacing w:val="-8"/>
                <w:szCs w:val="21"/>
                <w:highlight w:val="none"/>
              </w:rPr>
            </w:pPr>
            <w:r>
              <w:rPr>
                <w:rFonts w:hint="eastAsia" w:ascii="宋体" w:hAnsi="宋体" w:eastAsia="宋体" w:cs="宋体"/>
                <w:color w:val="auto"/>
                <w:spacing w:val="-8"/>
                <w:szCs w:val="21"/>
                <w:highlight w:val="none"/>
              </w:rPr>
              <w:t>（3）拟派驻人员同时满足上述两个条件时可以累计得分。</w:t>
            </w:r>
          </w:p>
          <w:p>
            <w:pPr>
              <w:adjustRightInd w:val="0"/>
              <w:snapToGrid w:val="0"/>
              <w:rPr>
                <w:rFonts w:hint="eastAsia" w:ascii="宋体" w:hAnsi="宋体" w:eastAsia="宋体" w:cs="宋体"/>
                <w:color w:val="auto"/>
                <w:spacing w:val="-8"/>
                <w:szCs w:val="21"/>
                <w:highlight w:val="none"/>
              </w:rPr>
            </w:pPr>
            <w:r>
              <w:rPr>
                <w:rFonts w:hint="eastAsia" w:ascii="宋体" w:hAnsi="宋体" w:eastAsia="宋体" w:cs="宋体"/>
                <w:color w:val="auto"/>
                <w:spacing w:val="-8"/>
                <w:szCs w:val="21"/>
                <w:highlight w:val="none"/>
              </w:rPr>
              <w:t>需提供相关人员有效的证明材料复印件。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35" w:type="dxa"/>
            <w:vMerge w:val="restart"/>
            <w:noWrap w:val="0"/>
            <w:vAlign w:val="center"/>
          </w:tcPr>
          <w:p>
            <w:pPr>
              <w:spacing w:line="360" w:lineRule="auto"/>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rPr>
              <w:t>技术部分(50分)</w:t>
            </w:r>
          </w:p>
        </w:tc>
        <w:tc>
          <w:tcPr>
            <w:tcW w:w="1406" w:type="dxa"/>
            <w:noWrap w:val="0"/>
            <w:vAlign w:val="center"/>
          </w:tcPr>
          <w:p>
            <w:pPr>
              <w:adjustRightInd w:val="0"/>
              <w:snapToGrid w:val="0"/>
              <w:jc w:val="center"/>
              <w:rPr>
                <w:rFonts w:hint="eastAsia" w:ascii="宋体" w:hAnsi="宋体" w:eastAsia="宋体" w:cs="宋体"/>
                <w:color w:val="auto"/>
                <w:spacing w:val="-8"/>
                <w:szCs w:val="21"/>
                <w:highlight w:val="none"/>
              </w:rPr>
            </w:pPr>
            <w:r>
              <w:rPr>
                <w:rFonts w:hint="eastAsia" w:ascii="宋体" w:hAnsi="宋体" w:eastAsia="宋体" w:cs="宋体"/>
                <w:color w:val="auto"/>
                <w:spacing w:val="-8"/>
                <w:szCs w:val="21"/>
                <w:highlight w:val="none"/>
              </w:rPr>
              <w:t>对本项目的理解和技术建议</w:t>
            </w:r>
          </w:p>
        </w:tc>
        <w:tc>
          <w:tcPr>
            <w:tcW w:w="849" w:type="dxa"/>
            <w:noWrap w:val="0"/>
            <w:vAlign w:val="center"/>
          </w:tcPr>
          <w:p>
            <w:pPr>
              <w:adjustRightInd w:val="0"/>
              <w:snapToGrid w:val="0"/>
              <w:jc w:val="center"/>
              <w:rPr>
                <w:rFonts w:hint="eastAsia" w:ascii="宋体" w:hAnsi="宋体" w:eastAsia="宋体" w:cs="宋体"/>
                <w:color w:val="auto"/>
                <w:spacing w:val="-8"/>
                <w:szCs w:val="21"/>
                <w:highlight w:val="none"/>
              </w:rPr>
            </w:pPr>
            <w:r>
              <w:rPr>
                <w:rFonts w:hint="eastAsia" w:ascii="宋体" w:hAnsi="宋体" w:eastAsia="宋体" w:cs="宋体"/>
                <w:color w:val="auto"/>
                <w:spacing w:val="-8"/>
                <w:szCs w:val="21"/>
                <w:highlight w:val="none"/>
              </w:rPr>
              <w:t>20</w:t>
            </w:r>
          </w:p>
        </w:tc>
        <w:tc>
          <w:tcPr>
            <w:tcW w:w="7000" w:type="dxa"/>
            <w:noWrap w:val="0"/>
            <w:vAlign w:val="center"/>
          </w:tcPr>
          <w:p>
            <w:pPr>
              <w:adjustRightInd w:val="0"/>
              <w:snapToGrid w:val="0"/>
              <w:jc w:val="left"/>
              <w:rPr>
                <w:rFonts w:hint="eastAsia" w:ascii="宋体" w:hAnsi="宋体" w:eastAsia="宋体" w:cs="宋体"/>
                <w:color w:val="auto"/>
                <w:spacing w:val="-8"/>
                <w:szCs w:val="21"/>
                <w:highlight w:val="none"/>
              </w:rPr>
            </w:pPr>
            <w:r>
              <w:rPr>
                <w:rFonts w:hint="eastAsia" w:ascii="宋体" w:hAnsi="宋体" w:eastAsia="宋体" w:cs="宋体"/>
                <w:color w:val="auto"/>
                <w:spacing w:val="-8"/>
                <w:szCs w:val="21"/>
                <w:highlight w:val="none"/>
                <w:lang w:eastAsia="zh-CN"/>
              </w:rPr>
              <w:t>投标人</w:t>
            </w:r>
            <w:r>
              <w:rPr>
                <w:rFonts w:hint="eastAsia" w:ascii="宋体" w:hAnsi="宋体" w:eastAsia="宋体" w:cs="宋体"/>
                <w:color w:val="auto"/>
                <w:spacing w:val="-8"/>
                <w:szCs w:val="21"/>
                <w:highlight w:val="none"/>
              </w:rPr>
              <w:t>对项目的理解程度，特别是对项目的特点、难点分析是否准确，对重点难点问题拟采取的措施的有效性和针对性。</w:t>
            </w:r>
          </w:p>
          <w:p>
            <w:pPr>
              <w:adjustRightInd w:val="0"/>
              <w:snapToGrid w:val="0"/>
              <w:jc w:val="left"/>
              <w:rPr>
                <w:rFonts w:hint="eastAsia" w:ascii="宋体" w:hAnsi="宋体" w:eastAsia="宋体" w:cs="宋体"/>
                <w:color w:val="auto"/>
                <w:spacing w:val="-8"/>
                <w:szCs w:val="21"/>
                <w:highlight w:val="none"/>
              </w:rPr>
            </w:pPr>
            <w:r>
              <w:rPr>
                <w:rFonts w:hint="eastAsia" w:ascii="宋体" w:hAnsi="宋体" w:eastAsia="宋体" w:cs="宋体"/>
                <w:color w:val="auto"/>
                <w:spacing w:val="-8"/>
                <w:szCs w:val="21"/>
                <w:highlight w:val="none"/>
              </w:rPr>
              <w:t>对本项目认知理解十分精准，合理得</w:t>
            </w:r>
            <w:r>
              <w:rPr>
                <w:rFonts w:hint="eastAsia" w:ascii="宋体" w:hAnsi="宋体" w:eastAsia="宋体" w:cs="宋体"/>
                <w:color w:val="auto"/>
                <w:spacing w:val="-8"/>
                <w:szCs w:val="21"/>
                <w:highlight w:val="none"/>
                <w:lang w:val="en-US" w:eastAsia="zh-CN"/>
              </w:rPr>
              <w:t>20</w:t>
            </w:r>
            <w:r>
              <w:rPr>
                <w:rFonts w:hint="eastAsia" w:ascii="宋体" w:hAnsi="宋体" w:eastAsia="宋体" w:cs="宋体"/>
                <w:color w:val="auto"/>
                <w:spacing w:val="-8"/>
                <w:szCs w:val="21"/>
                <w:highlight w:val="none"/>
              </w:rPr>
              <w:t>-1</w:t>
            </w:r>
            <w:r>
              <w:rPr>
                <w:rFonts w:hint="eastAsia" w:ascii="宋体" w:hAnsi="宋体" w:eastAsia="宋体" w:cs="宋体"/>
                <w:color w:val="auto"/>
                <w:spacing w:val="-8"/>
                <w:szCs w:val="21"/>
                <w:highlight w:val="none"/>
                <w:lang w:val="en-US" w:eastAsia="zh-CN"/>
              </w:rPr>
              <w:t>5</w:t>
            </w:r>
            <w:r>
              <w:rPr>
                <w:rFonts w:hint="eastAsia" w:ascii="宋体" w:hAnsi="宋体" w:eastAsia="宋体" w:cs="宋体"/>
                <w:color w:val="auto"/>
                <w:spacing w:val="-8"/>
                <w:szCs w:val="21"/>
                <w:highlight w:val="none"/>
              </w:rPr>
              <w:t>分；</w:t>
            </w:r>
          </w:p>
          <w:p>
            <w:pPr>
              <w:adjustRightInd w:val="0"/>
              <w:snapToGrid w:val="0"/>
              <w:jc w:val="left"/>
              <w:rPr>
                <w:rFonts w:hint="eastAsia" w:ascii="宋体" w:hAnsi="宋体" w:eastAsia="宋体" w:cs="宋体"/>
                <w:color w:val="auto"/>
                <w:spacing w:val="-8"/>
                <w:szCs w:val="21"/>
                <w:highlight w:val="none"/>
              </w:rPr>
            </w:pPr>
            <w:r>
              <w:rPr>
                <w:rFonts w:hint="eastAsia" w:ascii="宋体" w:hAnsi="宋体" w:eastAsia="宋体" w:cs="宋体"/>
                <w:color w:val="auto"/>
                <w:spacing w:val="-8"/>
                <w:szCs w:val="21"/>
                <w:highlight w:val="none"/>
              </w:rPr>
              <w:t>对本项目认知理解较为准确，得1</w:t>
            </w:r>
            <w:r>
              <w:rPr>
                <w:rFonts w:hint="eastAsia" w:ascii="宋体" w:hAnsi="宋体" w:eastAsia="宋体" w:cs="宋体"/>
                <w:color w:val="auto"/>
                <w:spacing w:val="-8"/>
                <w:szCs w:val="21"/>
                <w:highlight w:val="none"/>
                <w:lang w:val="en-US" w:eastAsia="zh-CN"/>
              </w:rPr>
              <w:t>4</w:t>
            </w:r>
            <w:r>
              <w:rPr>
                <w:rFonts w:hint="eastAsia" w:ascii="宋体" w:hAnsi="宋体" w:eastAsia="宋体" w:cs="宋体"/>
                <w:color w:val="auto"/>
                <w:spacing w:val="-8"/>
                <w:szCs w:val="21"/>
                <w:highlight w:val="none"/>
              </w:rPr>
              <w:t>-</w:t>
            </w:r>
            <w:r>
              <w:rPr>
                <w:rFonts w:hint="eastAsia" w:ascii="宋体" w:hAnsi="宋体" w:eastAsia="宋体" w:cs="宋体"/>
                <w:color w:val="auto"/>
                <w:spacing w:val="-8"/>
                <w:szCs w:val="21"/>
                <w:highlight w:val="none"/>
                <w:lang w:val="en-US" w:eastAsia="zh-CN"/>
              </w:rPr>
              <w:t>8</w:t>
            </w:r>
            <w:r>
              <w:rPr>
                <w:rFonts w:hint="eastAsia" w:ascii="宋体" w:hAnsi="宋体" w:eastAsia="宋体" w:cs="宋体"/>
                <w:color w:val="auto"/>
                <w:spacing w:val="-8"/>
                <w:szCs w:val="21"/>
                <w:highlight w:val="none"/>
              </w:rPr>
              <w:t>分；</w:t>
            </w:r>
          </w:p>
          <w:p>
            <w:pPr>
              <w:adjustRightInd w:val="0"/>
              <w:snapToGrid w:val="0"/>
              <w:jc w:val="left"/>
              <w:rPr>
                <w:rFonts w:hint="eastAsia" w:ascii="宋体" w:hAnsi="宋体" w:eastAsia="宋体" w:cs="宋体"/>
                <w:color w:val="auto"/>
                <w:spacing w:val="-8"/>
                <w:szCs w:val="21"/>
                <w:highlight w:val="none"/>
              </w:rPr>
            </w:pPr>
            <w:r>
              <w:rPr>
                <w:rFonts w:hint="eastAsia" w:ascii="宋体" w:hAnsi="宋体" w:eastAsia="宋体" w:cs="宋体"/>
                <w:color w:val="auto"/>
                <w:spacing w:val="-8"/>
                <w:szCs w:val="21"/>
                <w:highlight w:val="none"/>
              </w:rPr>
              <w:t>对本项目认知理解贴合本项目要求，基本符合实际得</w:t>
            </w:r>
            <w:r>
              <w:rPr>
                <w:rFonts w:hint="eastAsia" w:ascii="宋体" w:hAnsi="宋体" w:eastAsia="宋体" w:cs="宋体"/>
                <w:color w:val="auto"/>
                <w:spacing w:val="-8"/>
                <w:szCs w:val="21"/>
                <w:highlight w:val="none"/>
                <w:lang w:val="en-US" w:eastAsia="zh-CN"/>
              </w:rPr>
              <w:t>7</w:t>
            </w:r>
            <w:r>
              <w:rPr>
                <w:rFonts w:hint="eastAsia" w:ascii="宋体" w:hAnsi="宋体" w:eastAsia="宋体" w:cs="宋体"/>
                <w:color w:val="auto"/>
                <w:spacing w:val="-8"/>
                <w:szCs w:val="21"/>
                <w:highlight w:val="none"/>
              </w:rPr>
              <w:t>-1分；</w:t>
            </w:r>
          </w:p>
          <w:p>
            <w:pPr>
              <w:adjustRightInd w:val="0"/>
              <w:snapToGrid w:val="0"/>
              <w:jc w:val="left"/>
              <w:rPr>
                <w:rFonts w:hint="eastAsia" w:ascii="宋体" w:hAnsi="宋体" w:eastAsia="宋体" w:cs="宋体"/>
                <w:color w:val="auto"/>
                <w:spacing w:val="-8"/>
                <w:szCs w:val="21"/>
                <w:highlight w:val="none"/>
              </w:rPr>
            </w:pPr>
            <w:r>
              <w:rPr>
                <w:rFonts w:hint="eastAsia" w:ascii="宋体" w:hAnsi="宋体" w:eastAsia="宋体" w:cs="宋体"/>
                <w:color w:val="auto"/>
                <w:spacing w:val="-8"/>
                <w:szCs w:val="21"/>
                <w:highlight w:val="none"/>
              </w:rPr>
              <w:t>对本项目认知理解有误，不能满足项目要求得0分。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35" w:type="dxa"/>
            <w:vMerge w:val="continue"/>
            <w:noWrap w:val="0"/>
            <w:vAlign w:val="center"/>
          </w:tcPr>
          <w:p>
            <w:pPr>
              <w:spacing w:line="360" w:lineRule="auto"/>
              <w:rPr>
                <w:rFonts w:hint="eastAsia" w:ascii="宋体" w:hAnsi="宋体" w:eastAsia="宋体" w:cs="宋体"/>
                <w:color w:val="auto"/>
                <w:kern w:val="0"/>
                <w:szCs w:val="21"/>
                <w:highlight w:val="none"/>
              </w:rPr>
            </w:pPr>
          </w:p>
        </w:tc>
        <w:tc>
          <w:tcPr>
            <w:tcW w:w="1406" w:type="dxa"/>
            <w:noWrap w:val="0"/>
            <w:vAlign w:val="center"/>
          </w:tcPr>
          <w:p>
            <w:pPr>
              <w:adjustRightInd w:val="0"/>
              <w:snapToGrid w:val="0"/>
              <w:jc w:val="center"/>
              <w:rPr>
                <w:rFonts w:hint="eastAsia" w:ascii="宋体" w:hAnsi="宋体" w:eastAsia="宋体" w:cs="宋体"/>
                <w:color w:val="auto"/>
                <w:spacing w:val="-8"/>
                <w:szCs w:val="21"/>
                <w:highlight w:val="none"/>
              </w:rPr>
            </w:pPr>
            <w:r>
              <w:rPr>
                <w:rFonts w:hint="eastAsia" w:ascii="宋体" w:hAnsi="宋体" w:eastAsia="宋体" w:cs="宋体"/>
                <w:color w:val="auto"/>
                <w:spacing w:val="-8"/>
                <w:szCs w:val="21"/>
                <w:highlight w:val="none"/>
              </w:rPr>
              <w:t>评估工作的内容与深度</w:t>
            </w:r>
          </w:p>
        </w:tc>
        <w:tc>
          <w:tcPr>
            <w:tcW w:w="849" w:type="dxa"/>
            <w:noWrap w:val="0"/>
            <w:vAlign w:val="center"/>
          </w:tcPr>
          <w:p>
            <w:pPr>
              <w:adjustRightInd w:val="0"/>
              <w:snapToGrid w:val="0"/>
              <w:jc w:val="center"/>
              <w:rPr>
                <w:rFonts w:hint="eastAsia" w:ascii="宋体" w:hAnsi="宋体" w:eastAsia="宋体" w:cs="宋体"/>
                <w:color w:val="auto"/>
                <w:spacing w:val="-8"/>
                <w:szCs w:val="21"/>
                <w:highlight w:val="none"/>
              </w:rPr>
            </w:pPr>
            <w:r>
              <w:rPr>
                <w:rFonts w:hint="eastAsia" w:ascii="宋体" w:hAnsi="宋体" w:eastAsia="宋体" w:cs="宋体"/>
                <w:color w:val="auto"/>
                <w:spacing w:val="-8"/>
                <w:szCs w:val="21"/>
                <w:highlight w:val="none"/>
              </w:rPr>
              <w:t>15</w:t>
            </w:r>
          </w:p>
        </w:tc>
        <w:tc>
          <w:tcPr>
            <w:tcW w:w="7000" w:type="dxa"/>
            <w:noWrap w:val="0"/>
            <w:vAlign w:val="center"/>
          </w:tcPr>
          <w:p>
            <w:pPr>
              <w:adjustRightInd w:val="0"/>
              <w:snapToGrid w:val="0"/>
              <w:jc w:val="left"/>
              <w:rPr>
                <w:rFonts w:hint="eastAsia" w:ascii="宋体" w:hAnsi="宋体" w:eastAsia="宋体" w:cs="宋体"/>
                <w:color w:val="auto"/>
                <w:spacing w:val="-8"/>
                <w:szCs w:val="21"/>
                <w:highlight w:val="none"/>
              </w:rPr>
            </w:pPr>
            <w:r>
              <w:rPr>
                <w:rFonts w:hint="eastAsia" w:ascii="宋体" w:hAnsi="宋体" w:eastAsia="宋体" w:cs="宋体"/>
                <w:color w:val="auto"/>
                <w:spacing w:val="-8"/>
                <w:szCs w:val="21"/>
                <w:highlight w:val="none"/>
              </w:rPr>
              <w:t>评估工作的内容、深度的合理性，是否满足采购人要求。</w:t>
            </w:r>
          </w:p>
          <w:p>
            <w:pPr>
              <w:tabs>
                <w:tab w:val="left" w:pos="4944"/>
              </w:tabs>
              <w:adjustRightInd w:val="0"/>
              <w:snapToGrid w:val="0"/>
              <w:jc w:val="left"/>
              <w:rPr>
                <w:rFonts w:hint="eastAsia" w:ascii="宋体" w:hAnsi="宋体" w:eastAsia="宋体" w:cs="宋体"/>
                <w:color w:val="auto"/>
                <w:spacing w:val="-8"/>
                <w:szCs w:val="21"/>
                <w:highlight w:val="none"/>
              </w:rPr>
            </w:pPr>
            <w:r>
              <w:rPr>
                <w:rFonts w:hint="eastAsia" w:ascii="宋体" w:hAnsi="宋体" w:eastAsia="宋体" w:cs="宋体"/>
                <w:color w:val="auto"/>
                <w:spacing w:val="-8"/>
                <w:szCs w:val="21"/>
                <w:highlight w:val="none"/>
              </w:rPr>
              <w:t>工作方案完整、清晰、可行得15-11分；</w:t>
            </w:r>
          </w:p>
          <w:p>
            <w:pPr>
              <w:tabs>
                <w:tab w:val="left" w:pos="4944"/>
              </w:tabs>
              <w:adjustRightInd w:val="0"/>
              <w:snapToGrid w:val="0"/>
              <w:jc w:val="left"/>
              <w:rPr>
                <w:rFonts w:hint="eastAsia" w:ascii="宋体" w:hAnsi="宋体" w:eastAsia="宋体" w:cs="宋体"/>
                <w:color w:val="auto"/>
                <w:spacing w:val="-8"/>
                <w:szCs w:val="21"/>
                <w:highlight w:val="none"/>
              </w:rPr>
            </w:pPr>
            <w:r>
              <w:rPr>
                <w:rFonts w:hint="eastAsia" w:ascii="宋体" w:hAnsi="宋体" w:eastAsia="宋体" w:cs="宋体"/>
                <w:color w:val="auto"/>
                <w:spacing w:val="-8"/>
                <w:szCs w:val="21"/>
                <w:highlight w:val="none"/>
              </w:rPr>
              <w:t>工作方案较合理、较可行得10-6分；</w:t>
            </w:r>
          </w:p>
          <w:p>
            <w:pPr>
              <w:tabs>
                <w:tab w:val="left" w:pos="4944"/>
              </w:tabs>
              <w:adjustRightInd w:val="0"/>
              <w:snapToGrid w:val="0"/>
              <w:jc w:val="left"/>
              <w:rPr>
                <w:rFonts w:hint="eastAsia" w:ascii="宋体" w:hAnsi="宋体" w:eastAsia="宋体" w:cs="宋体"/>
                <w:color w:val="auto"/>
                <w:spacing w:val="-8"/>
                <w:szCs w:val="21"/>
                <w:highlight w:val="none"/>
              </w:rPr>
            </w:pPr>
            <w:r>
              <w:rPr>
                <w:rFonts w:hint="eastAsia" w:ascii="宋体" w:hAnsi="宋体" w:eastAsia="宋体" w:cs="宋体"/>
                <w:color w:val="auto"/>
                <w:spacing w:val="-8"/>
                <w:szCs w:val="21"/>
                <w:highlight w:val="none"/>
              </w:rPr>
              <w:t>工作方案不清晰、不明确得5-1分；</w:t>
            </w:r>
          </w:p>
          <w:p>
            <w:pPr>
              <w:tabs>
                <w:tab w:val="left" w:pos="4944"/>
              </w:tabs>
              <w:adjustRightInd w:val="0"/>
              <w:snapToGrid w:val="0"/>
              <w:jc w:val="left"/>
              <w:rPr>
                <w:rFonts w:hint="eastAsia" w:ascii="宋体" w:hAnsi="宋体" w:eastAsia="宋体" w:cs="宋体"/>
                <w:color w:val="auto"/>
                <w:spacing w:val="-8"/>
                <w:szCs w:val="21"/>
                <w:highlight w:val="none"/>
              </w:rPr>
            </w:pPr>
            <w:r>
              <w:rPr>
                <w:rFonts w:hint="eastAsia" w:ascii="宋体" w:hAnsi="宋体" w:eastAsia="宋体" w:cs="宋体"/>
                <w:color w:val="auto"/>
                <w:spacing w:val="-8"/>
                <w:szCs w:val="21"/>
                <w:highlight w:val="none"/>
              </w:rPr>
              <w:t>工作方案不合理，不可行得0分。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35" w:type="dxa"/>
            <w:vMerge w:val="continue"/>
            <w:noWrap w:val="0"/>
            <w:vAlign w:val="center"/>
          </w:tcPr>
          <w:p>
            <w:pPr>
              <w:spacing w:line="360" w:lineRule="auto"/>
              <w:rPr>
                <w:rFonts w:hint="eastAsia" w:ascii="宋体" w:hAnsi="宋体" w:eastAsia="宋体" w:cs="宋体"/>
                <w:color w:val="auto"/>
                <w:kern w:val="0"/>
                <w:szCs w:val="21"/>
                <w:highlight w:val="none"/>
              </w:rPr>
            </w:pPr>
          </w:p>
        </w:tc>
        <w:tc>
          <w:tcPr>
            <w:tcW w:w="1406" w:type="dxa"/>
            <w:noWrap w:val="0"/>
            <w:vAlign w:val="center"/>
          </w:tcPr>
          <w:p>
            <w:pPr>
              <w:adjustRightInd w:val="0"/>
              <w:snapToGrid w:val="0"/>
              <w:jc w:val="center"/>
              <w:rPr>
                <w:rFonts w:hint="eastAsia" w:ascii="宋体" w:hAnsi="宋体" w:eastAsia="宋体" w:cs="宋体"/>
                <w:color w:val="auto"/>
                <w:spacing w:val="-8"/>
                <w:szCs w:val="21"/>
                <w:highlight w:val="none"/>
              </w:rPr>
            </w:pPr>
            <w:r>
              <w:rPr>
                <w:rFonts w:hint="eastAsia" w:ascii="宋体" w:hAnsi="宋体" w:eastAsia="宋体" w:cs="宋体"/>
                <w:color w:val="auto"/>
                <w:spacing w:val="-8"/>
                <w:szCs w:val="21"/>
                <w:highlight w:val="none"/>
              </w:rPr>
              <w:t>设备配备</w:t>
            </w:r>
          </w:p>
        </w:tc>
        <w:tc>
          <w:tcPr>
            <w:tcW w:w="849" w:type="dxa"/>
            <w:noWrap w:val="0"/>
            <w:vAlign w:val="center"/>
          </w:tcPr>
          <w:p>
            <w:pPr>
              <w:adjustRightInd w:val="0"/>
              <w:snapToGrid w:val="0"/>
              <w:jc w:val="center"/>
              <w:rPr>
                <w:rFonts w:hint="eastAsia" w:ascii="宋体" w:hAnsi="宋体" w:eastAsia="宋体" w:cs="宋体"/>
                <w:color w:val="auto"/>
                <w:spacing w:val="-8"/>
                <w:szCs w:val="21"/>
                <w:highlight w:val="none"/>
              </w:rPr>
            </w:pPr>
            <w:r>
              <w:rPr>
                <w:rFonts w:hint="eastAsia" w:ascii="宋体" w:hAnsi="宋体" w:eastAsia="宋体" w:cs="宋体"/>
                <w:color w:val="auto"/>
                <w:spacing w:val="-8"/>
                <w:szCs w:val="21"/>
                <w:highlight w:val="none"/>
              </w:rPr>
              <w:t>5</w:t>
            </w:r>
          </w:p>
        </w:tc>
        <w:tc>
          <w:tcPr>
            <w:tcW w:w="7000" w:type="dxa"/>
            <w:noWrap w:val="0"/>
            <w:vAlign w:val="center"/>
          </w:tcPr>
          <w:p>
            <w:pPr>
              <w:adjustRightInd w:val="0"/>
              <w:snapToGrid w:val="0"/>
              <w:jc w:val="left"/>
              <w:rPr>
                <w:rFonts w:hint="eastAsia" w:ascii="宋体" w:hAnsi="宋体" w:eastAsia="宋体" w:cs="宋体"/>
                <w:color w:val="auto"/>
                <w:spacing w:val="-8"/>
                <w:szCs w:val="21"/>
                <w:highlight w:val="none"/>
              </w:rPr>
            </w:pPr>
            <w:r>
              <w:rPr>
                <w:rFonts w:hint="eastAsia" w:ascii="宋体" w:hAnsi="宋体" w:eastAsia="宋体" w:cs="宋体"/>
                <w:color w:val="auto"/>
                <w:spacing w:val="-8"/>
                <w:szCs w:val="21"/>
                <w:highlight w:val="none"/>
              </w:rPr>
              <w:t>拟投入本项目装备配置、工具与计算机软、硬件配备及其应用情况满足需求。</w:t>
            </w:r>
          </w:p>
          <w:p>
            <w:pPr>
              <w:adjustRightInd w:val="0"/>
              <w:snapToGrid w:val="0"/>
              <w:jc w:val="left"/>
              <w:rPr>
                <w:rFonts w:hint="eastAsia" w:ascii="宋体" w:hAnsi="宋体" w:eastAsia="宋体" w:cs="宋体"/>
                <w:color w:val="auto"/>
                <w:spacing w:val="-8"/>
                <w:szCs w:val="21"/>
                <w:highlight w:val="none"/>
              </w:rPr>
            </w:pPr>
            <w:r>
              <w:rPr>
                <w:rFonts w:hint="eastAsia" w:ascii="宋体" w:hAnsi="宋体" w:eastAsia="宋体" w:cs="宋体"/>
                <w:color w:val="auto"/>
                <w:spacing w:val="-8"/>
                <w:szCs w:val="21"/>
                <w:highlight w:val="none"/>
              </w:rPr>
              <w:t>以上内容完全达到上述要求得5-4分；</w:t>
            </w:r>
          </w:p>
          <w:p>
            <w:pPr>
              <w:adjustRightInd w:val="0"/>
              <w:snapToGrid w:val="0"/>
              <w:jc w:val="left"/>
              <w:rPr>
                <w:rFonts w:hint="eastAsia" w:ascii="宋体" w:hAnsi="宋体" w:eastAsia="宋体" w:cs="宋体"/>
                <w:color w:val="auto"/>
                <w:spacing w:val="-8"/>
                <w:szCs w:val="21"/>
                <w:highlight w:val="none"/>
              </w:rPr>
            </w:pPr>
            <w:r>
              <w:rPr>
                <w:rFonts w:hint="eastAsia" w:ascii="宋体" w:hAnsi="宋体" w:eastAsia="宋体" w:cs="宋体"/>
                <w:color w:val="auto"/>
                <w:spacing w:val="-8"/>
                <w:szCs w:val="21"/>
                <w:highlight w:val="none"/>
              </w:rPr>
              <w:t>以上内容基本满足要求得3-1分；</w:t>
            </w:r>
          </w:p>
          <w:p>
            <w:pPr>
              <w:adjustRightInd w:val="0"/>
              <w:snapToGrid w:val="0"/>
              <w:jc w:val="left"/>
              <w:rPr>
                <w:rFonts w:hint="eastAsia" w:ascii="宋体" w:hAnsi="宋体" w:eastAsia="宋体" w:cs="宋体"/>
                <w:color w:val="auto"/>
                <w:spacing w:val="-8"/>
                <w:szCs w:val="21"/>
                <w:highlight w:val="none"/>
              </w:rPr>
            </w:pPr>
            <w:r>
              <w:rPr>
                <w:rFonts w:hint="eastAsia" w:ascii="宋体" w:hAnsi="宋体" w:eastAsia="宋体" w:cs="宋体"/>
                <w:color w:val="auto"/>
                <w:spacing w:val="-8"/>
                <w:szCs w:val="21"/>
                <w:highlight w:val="none"/>
              </w:rPr>
              <w:t>以上内容不合理，不可行得0分。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35" w:type="dxa"/>
            <w:vMerge w:val="continue"/>
            <w:noWrap w:val="0"/>
            <w:vAlign w:val="center"/>
          </w:tcPr>
          <w:p>
            <w:pPr>
              <w:spacing w:line="360" w:lineRule="auto"/>
              <w:rPr>
                <w:rFonts w:hint="eastAsia" w:ascii="宋体" w:hAnsi="宋体" w:eastAsia="宋体" w:cs="宋体"/>
                <w:color w:val="auto"/>
                <w:szCs w:val="21"/>
                <w:highlight w:val="none"/>
              </w:rPr>
            </w:pPr>
          </w:p>
        </w:tc>
        <w:tc>
          <w:tcPr>
            <w:tcW w:w="1406" w:type="dxa"/>
            <w:noWrap w:val="0"/>
            <w:vAlign w:val="center"/>
          </w:tcPr>
          <w:p>
            <w:pPr>
              <w:adjustRightInd w:val="0"/>
              <w:snapToGrid w:val="0"/>
              <w:jc w:val="center"/>
              <w:rPr>
                <w:rFonts w:hint="eastAsia" w:ascii="宋体" w:hAnsi="宋体" w:eastAsia="宋体" w:cs="宋体"/>
                <w:color w:val="auto"/>
                <w:spacing w:val="-8"/>
                <w:szCs w:val="21"/>
                <w:highlight w:val="none"/>
              </w:rPr>
            </w:pPr>
            <w:r>
              <w:rPr>
                <w:rFonts w:hint="eastAsia" w:ascii="宋体" w:hAnsi="宋体" w:eastAsia="宋体" w:cs="宋体"/>
                <w:color w:val="auto"/>
                <w:spacing w:val="-8"/>
                <w:szCs w:val="21"/>
                <w:highlight w:val="none"/>
              </w:rPr>
              <w:t>进度计划和保证措施</w:t>
            </w:r>
          </w:p>
        </w:tc>
        <w:tc>
          <w:tcPr>
            <w:tcW w:w="849" w:type="dxa"/>
            <w:noWrap w:val="0"/>
            <w:vAlign w:val="center"/>
          </w:tcPr>
          <w:p>
            <w:pPr>
              <w:adjustRightInd w:val="0"/>
              <w:snapToGrid w:val="0"/>
              <w:jc w:val="center"/>
              <w:rPr>
                <w:rFonts w:hint="eastAsia" w:ascii="宋体" w:hAnsi="宋体" w:eastAsia="宋体" w:cs="宋体"/>
                <w:color w:val="auto"/>
                <w:spacing w:val="-8"/>
                <w:szCs w:val="21"/>
                <w:highlight w:val="none"/>
              </w:rPr>
            </w:pPr>
            <w:r>
              <w:rPr>
                <w:rFonts w:hint="eastAsia" w:ascii="宋体" w:hAnsi="宋体" w:eastAsia="宋体" w:cs="宋体"/>
                <w:color w:val="auto"/>
                <w:spacing w:val="-8"/>
                <w:szCs w:val="21"/>
                <w:highlight w:val="none"/>
              </w:rPr>
              <w:t>5</w:t>
            </w:r>
          </w:p>
        </w:tc>
        <w:tc>
          <w:tcPr>
            <w:tcW w:w="7000" w:type="dxa"/>
            <w:noWrap w:val="0"/>
            <w:vAlign w:val="center"/>
          </w:tcPr>
          <w:p>
            <w:pPr>
              <w:adjustRightInd w:val="0"/>
              <w:snapToGrid w:val="0"/>
              <w:jc w:val="left"/>
              <w:rPr>
                <w:rFonts w:hint="eastAsia" w:ascii="宋体" w:hAnsi="宋体" w:eastAsia="宋体" w:cs="宋体"/>
                <w:color w:val="auto"/>
                <w:spacing w:val="-8"/>
                <w:szCs w:val="21"/>
                <w:highlight w:val="none"/>
              </w:rPr>
            </w:pPr>
            <w:r>
              <w:rPr>
                <w:rFonts w:hint="eastAsia" w:ascii="宋体" w:hAnsi="宋体" w:eastAsia="宋体" w:cs="宋体"/>
                <w:color w:val="auto"/>
                <w:spacing w:val="-8"/>
                <w:szCs w:val="21"/>
                <w:highlight w:val="none"/>
              </w:rPr>
              <w:t>评估工作进度计划和保证措施的合理性。进度计划在合同签订后</w:t>
            </w:r>
            <w:r>
              <w:rPr>
                <w:rFonts w:hint="eastAsia" w:ascii="宋体" w:hAnsi="宋体" w:cs="宋体"/>
                <w:color w:val="auto"/>
                <w:spacing w:val="-8"/>
                <w:szCs w:val="21"/>
                <w:highlight w:val="none"/>
                <w:lang w:val="en-US" w:eastAsia="zh-CN"/>
              </w:rPr>
              <w:t>30</w:t>
            </w:r>
            <w:r>
              <w:rPr>
                <w:rFonts w:hint="eastAsia" w:ascii="宋体" w:hAnsi="宋体" w:eastAsia="宋体" w:cs="宋体"/>
                <w:color w:val="auto"/>
                <w:spacing w:val="-8"/>
                <w:szCs w:val="21"/>
                <w:highlight w:val="none"/>
              </w:rPr>
              <w:t>日内提交成果报告。</w:t>
            </w:r>
          </w:p>
          <w:p>
            <w:pPr>
              <w:adjustRightInd w:val="0"/>
              <w:snapToGrid w:val="0"/>
              <w:jc w:val="left"/>
              <w:rPr>
                <w:rFonts w:hint="eastAsia" w:ascii="宋体" w:hAnsi="宋体" w:eastAsia="宋体" w:cs="宋体"/>
                <w:color w:val="auto"/>
                <w:spacing w:val="-8"/>
                <w:szCs w:val="21"/>
                <w:highlight w:val="none"/>
              </w:rPr>
            </w:pPr>
            <w:r>
              <w:rPr>
                <w:rFonts w:hint="eastAsia" w:ascii="宋体" w:hAnsi="宋体" w:eastAsia="宋体" w:cs="宋体"/>
                <w:color w:val="auto"/>
                <w:spacing w:val="-8"/>
                <w:szCs w:val="21"/>
                <w:highlight w:val="none"/>
              </w:rPr>
              <w:t>措施完整、合理、可行得5-4分；</w:t>
            </w:r>
          </w:p>
          <w:p>
            <w:pPr>
              <w:adjustRightInd w:val="0"/>
              <w:snapToGrid w:val="0"/>
              <w:jc w:val="left"/>
              <w:rPr>
                <w:rFonts w:hint="eastAsia" w:ascii="宋体" w:hAnsi="宋体" w:eastAsia="宋体" w:cs="宋体"/>
                <w:color w:val="auto"/>
                <w:spacing w:val="-8"/>
                <w:szCs w:val="21"/>
                <w:highlight w:val="none"/>
              </w:rPr>
            </w:pPr>
            <w:r>
              <w:rPr>
                <w:rFonts w:hint="eastAsia" w:ascii="宋体" w:hAnsi="宋体" w:eastAsia="宋体" w:cs="宋体"/>
                <w:color w:val="auto"/>
                <w:spacing w:val="-8"/>
                <w:szCs w:val="21"/>
                <w:highlight w:val="none"/>
              </w:rPr>
              <w:t>措施较合理、较可行得3-1分；</w:t>
            </w:r>
          </w:p>
          <w:p>
            <w:pPr>
              <w:adjustRightInd w:val="0"/>
              <w:snapToGrid w:val="0"/>
              <w:jc w:val="left"/>
              <w:rPr>
                <w:rFonts w:hint="eastAsia" w:ascii="宋体" w:hAnsi="宋体" w:eastAsia="宋体" w:cs="宋体"/>
                <w:color w:val="auto"/>
                <w:spacing w:val="-8"/>
                <w:szCs w:val="21"/>
                <w:highlight w:val="none"/>
              </w:rPr>
            </w:pPr>
            <w:r>
              <w:rPr>
                <w:rFonts w:hint="eastAsia" w:ascii="宋体" w:hAnsi="宋体" w:eastAsia="宋体" w:cs="宋体"/>
                <w:color w:val="auto"/>
                <w:spacing w:val="-8"/>
                <w:szCs w:val="21"/>
                <w:highlight w:val="none"/>
              </w:rPr>
              <w:t>措施不合理，不可行得0分。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35" w:type="dxa"/>
            <w:vMerge w:val="continue"/>
            <w:noWrap w:val="0"/>
            <w:vAlign w:val="center"/>
          </w:tcPr>
          <w:p>
            <w:pPr>
              <w:spacing w:line="360" w:lineRule="auto"/>
              <w:rPr>
                <w:rFonts w:hint="eastAsia" w:ascii="宋体" w:hAnsi="宋体" w:eastAsia="宋体" w:cs="宋体"/>
                <w:color w:val="auto"/>
                <w:szCs w:val="21"/>
                <w:highlight w:val="none"/>
              </w:rPr>
            </w:pPr>
          </w:p>
        </w:tc>
        <w:tc>
          <w:tcPr>
            <w:tcW w:w="1406" w:type="dxa"/>
            <w:noWrap w:val="0"/>
            <w:vAlign w:val="center"/>
          </w:tcPr>
          <w:p>
            <w:pPr>
              <w:adjustRightInd w:val="0"/>
              <w:snapToGrid w:val="0"/>
              <w:jc w:val="center"/>
              <w:rPr>
                <w:rFonts w:hint="eastAsia" w:ascii="宋体" w:hAnsi="宋体" w:eastAsia="宋体" w:cs="宋体"/>
                <w:color w:val="auto"/>
                <w:spacing w:val="-8"/>
                <w:szCs w:val="21"/>
                <w:highlight w:val="none"/>
              </w:rPr>
            </w:pPr>
            <w:r>
              <w:rPr>
                <w:rFonts w:hint="eastAsia" w:ascii="宋体" w:hAnsi="宋体" w:eastAsia="宋体" w:cs="宋体"/>
                <w:color w:val="auto"/>
                <w:spacing w:val="-8"/>
                <w:szCs w:val="21"/>
                <w:highlight w:val="none"/>
              </w:rPr>
              <w:t>质量保证体系与措施</w:t>
            </w:r>
          </w:p>
        </w:tc>
        <w:tc>
          <w:tcPr>
            <w:tcW w:w="849" w:type="dxa"/>
            <w:noWrap w:val="0"/>
            <w:vAlign w:val="center"/>
          </w:tcPr>
          <w:p>
            <w:pPr>
              <w:adjustRightInd w:val="0"/>
              <w:snapToGrid w:val="0"/>
              <w:jc w:val="center"/>
              <w:rPr>
                <w:rFonts w:hint="eastAsia" w:ascii="宋体" w:hAnsi="宋体" w:eastAsia="宋体" w:cs="宋体"/>
                <w:color w:val="auto"/>
                <w:spacing w:val="-8"/>
                <w:szCs w:val="21"/>
                <w:highlight w:val="none"/>
              </w:rPr>
            </w:pPr>
            <w:r>
              <w:rPr>
                <w:rFonts w:hint="eastAsia" w:ascii="宋体" w:hAnsi="宋体" w:eastAsia="宋体" w:cs="宋体"/>
                <w:color w:val="auto"/>
                <w:spacing w:val="-8"/>
                <w:szCs w:val="21"/>
                <w:highlight w:val="none"/>
              </w:rPr>
              <w:t>5</w:t>
            </w:r>
          </w:p>
        </w:tc>
        <w:tc>
          <w:tcPr>
            <w:tcW w:w="7000" w:type="dxa"/>
            <w:noWrap w:val="0"/>
            <w:vAlign w:val="center"/>
          </w:tcPr>
          <w:p>
            <w:pPr>
              <w:adjustRightInd w:val="0"/>
              <w:snapToGrid w:val="0"/>
              <w:jc w:val="left"/>
              <w:rPr>
                <w:rFonts w:hint="eastAsia" w:ascii="宋体" w:hAnsi="宋体" w:eastAsia="宋体" w:cs="宋体"/>
                <w:color w:val="auto"/>
                <w:spacing w:val="-8"/>
                <w:szCs w:val="21"/>
                <w:highlight w:val="none"/>
              </w:rPr>
            </w:pPr>
            <w:r>
              <w:rPr>
                <w:rFonts w:hint="eastAsia" w:ascii="宋体" w:hAnsi="宋体" w:eastAsia="宋体" w:cs="宋体"/>
                <w:color w:val="auto"/>
                <w:spacing w:val="-8"/>
                <w:szCs w:val="21"/>
                <w:highlight w:val="none"/>
              </w:rPr>
              <w:t>评估工作质量保证体系与措施的有效性。</w:t>
            </w:r>
          </w:p>
          <w:p>
            <w:pPr>
              <w:adjustRightInd w:val="0"/>
              <w:snapToGrid w:val="0"/>
              <w:jc w:val="left"/>
              <w:rPr>
                <w:rFonts w:hint="eastAsia" w:ascii="宋体" w:hAnsi="宋体" w:eastAsia="宋体" w:cs="宋体"/>
                <w:color w:val="auto"/>
                <w:spacing w:val="-8"/>
                <w:szCs w:val="21"/>
                <w:highlight w:val="none"/>
              </w:rPr>
            </w:pPr>
            <w:r>
              <w:rPr>
                <w:rFonts w:hint="eastAsia" w:ascii="宋体" w:hAnsi="宋体" w:eastAsia="宋体" w:cs="宋体"/>
                <w:color w:val="auto"/>
                <w:spacing w:val="-8"/>
                <w:szCs w:val="21"/>
                <w:highlight w:val="none"/>
              </w:rPr>
              <w:t>措施完整、合理、可行得5-4分；</w:t>
            </w:r>
          </w:p>
          <w:p>
            <w:pPr>
              <w:adjustRightInd w:val="0"/>
              <w:snapToGrid w:val="0"/>
              <w:jc w:val="left"/>
              <w:rPr>
                <w:rFonts w:hint="eastAsia" w:ascii="宋体" w:hAnsi="宋体" w:eastAsia="宋体" w:cs="宋体"/>
                <w:color w:val="auto"/>
                <w:spacing w:val="-8"/>
                <w:szCs w:val="21"/>
                <w:highlight w:val="none"/>
              </w:rPr>
            </w:pPr>
            <w:r>
              <w:rPr>
                <w:rFonts w:hint="eastAsia" w:ascii="宋体" w:hAnsi="宋体" w:eastAsia="宋体" w:cs="宋体"/>
                <w:color w:val="auto"/>
                <w:spacing w:val="-8"/>
                <w:szCs w:val="21"/>
                <w:highlight w:val="none"/>
              </w:rPr>
              <w:t>措施较合理、较可行得3-1分；</w:t>
            </w:r>
          </w:p>
          <w:p>
            <w:pPr>
              <w:adjustRightInd w:val="0"/>
              <w:snapToGrid w:val="0"/>
              <w:jc w:val="left"/>
              <w:rPr>
                <w:rFonts w:hint="eastAsia" w:ascii="宋体" w:hAnsi="宋体" w:eastAsia="宋体" w:cs="宋体"/>
                <w:color w:val="auto"/>
                <w:spacing w:val="-8"/>
                <w:szCs w:val="21"/>
                <w:highlight w:val="none"/>
              </w:rPr>
            </w:pPr>
            <w:r>
              <w:rPr>
                <w:rFonts w:hint="eastAsia" w:ascii="宋体" w:hAnsi="宋体" w:eastAsia="宋体" w:cs="宋体"/>
                <w:color w:val="auto"/>
                <w:spacing w:val="-8"/>
                <w:szCs w:val="21"/>
                <w:highlight w:val="none"/>
              </w:rPr>
              <w:t>措施不合理，不可行得0分。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 w:hRule="atLeast"/>
          <w:jc w:val="center"/>
        </w:trPr>
        <w:tc>
          <w:tcPr>
            <w:tcW w:w="1135" w:type="dxa"/>
            <w:noWrap w:val="0"/>
            <w:vAlign w:val="center"/>
          </w:tcPr>
          <w:p>
            <w:pPr>
              <w:spacing w:line="360" w:lineRule="auto"/>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合计</w:t>
            </w:r>
          </w:p>
        </w:tc>
        <w:tc>
          <w:tcPr>
            <w:tcW w:w="9255" w:type="dxa"/>
            <w:gridSpan w:val="3"/>
            <w:noWrap w:val="0"/>
            <w:vAlign w:val="center"/>
          </w:tcPr>
          <w:p>
            <w:pPr>
              <w:spacing w:line="360"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100分</w:t>
            </w:r>
          </w:p>
        </w:tc>
      </w:tr>
    </w:tbl>
    <w:p>
      <w:pPr>
        <w:pStyle w:val="2"/>
        <w:ind w:left="0" w:leftChars="0" w:firstLine="0" w:firstLineChars="0"/>
        <w:rPr>
          <w:rFonts w:hint="eastAsia"/>
          <w:lang w:val="en-US" w:eastAsia="zh-CN"/>
        </w:rPr>
      </w:pPr>
    </w:p>
    <w:p>
      <w:pPr>
        <w:ind w:firstLine="640" w:firstLineChars="200"/>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（三）计分办法：</w:t>
      </w: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1.评标委员会成员按照招标文件的要求给投标人打分，并按下列公式确定各投标人的评定分数:评定分数=商务标得分+技术标得分+价格部分得分。</w:t>
      </w: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2.各投标人的最终得分为各评委所评定分数的算术平均值。    </w:t>
      </w: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3.各项统计、评分结果均按四舍五入方法精确到小数点后二位。</w:t>
      </w: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评标完成后，评标委员会应当根据综合评分情况，按照评审得分由高到低顺序推荐3名中标候选人，并编写评标报告。评审得分相同的，按照最后报价由低到高的顺序推荐。评审得分且最后报价相同的，按照技术指标优劣顺序推荐。</w:t>
      </w:r>
    </w:p>
    <w:p>
      <w:pPr>
        <w:ind w:firstLine="640" w:firstLineChars="200"/>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（四）、技术标部分格式</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黑体" w:eastAsia="仿宋_GB2312" w:cs="黑体"/>
          <w:color w:val="000000"/>
          <w:sz w:val="32"/>
          <w:szCs w:val="32"/>
        </w:rPr>
      </w:pPr>
      <w:r>
        <w:rPr>
          <w:rFonts w:hint="eastAsia" w:ascii="仿宋_GB2312" w:hAnsi="黑体" w:eastAsia="仿宋_GB2312" w:cs="黑体"/>
          <w:color w:val="000000"/>
          <w:sz w:val="32"/>
          <w:szCs w:val="32"/>
        </w:rPr>
        <w:t>技术文件至少包括（但不限于）如下内容：</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黑体" w:eastAsia="仿宋_GB2312" w:cs="黑体"/>
          <w:color w:val="000000"/>
          <w:sz w:val="32"/>
          <w:szCs w:val="32"/>
          <w:lang w:eastAsia="zh-CN"/>
        </w:rPr>
      </w:pPr>
      <w:r>
        <w:rPr>
          <w:rFonts w:hint="eastAsia" w:ascii="仿宋_GB2312" w:hAnsi="黑体" w:eastAsia="仿宋_GB2312" w:cs="黑体"/>
          <w:color w:val="000000"/>
          <w:sz w:val="32"/>
          <w:szCs w:val="32"/>
          <w:lang w:val="en-US" w:eastAsia="zh-CN"/>
        </w:rPr>
        <w:t>1、</w:t>
      </w:r>
      <w:r>
        <w:rPr>
          <w:rFonts w:hint="eastAsia" w:ascii="仿宋_GB2312" w:hAnsi="黑体" w:eastAsia="仿宋_GB2312" w:cs="黑体"/>
          <w:color w:val="000000"/>
          <w:sz w:val="32"/>
          <w:szCs w:val="32"/>
        </w:rPr>
        <w:t>工作方案描述</w:t>
      </w:r>
      <w:r>
        <w:rPr>
          <w:rFonts w:hint="eastAsia" w:ascii="仿宋_GB2312" w:hAnsi="黑体" w:eastAsia="仿宋_GB2312" w:cs="黑体"/>
          <w:color w:val="000000"/>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黑体" w:eastAsia="仿宋_GB2312" w:cs="黑体"/>
          <w:color w:val="000000"/>
          <w:sz w:val="32"/>
          <w:szCs w:val="32"/>
          <w:lang w:eastAsia="zh-CN"/>
        </w:rPr>
      </w:pPr>
      <w:r>
        <w:rPr>
          <w:rFonts w:hint="eastAsia" w:ascii="仿宋_GB2312" w:hAnsi="黑体" w:eastAsia="仿宋_GB2312" w:cs="黑体"/>
          <w:color w:val="000000"/>
          <w:sz w:val="32"/>
          <w:szCs w:val="32"/>
          <w:lang w:val="en-US" w:eastAsia="zh-CN"/>
        </w:rPr>
        <w:t>2、</w:t>
      </w:r>
      <w:r>
        <w:rPr>
          <w:rFonts w:hint="eastAsia" w:ascii="仿宋_GB2312" w:hAnsi="黑体" w:eastAsia="仿宋_GB2312" w:cs="黑体"/>
          <w:color w:val="000000"/>
          <w:sz w:val="32"/>
          <w:szCs w:val="32"/>
        </w:rPr>
        <w:t>主要设计和技术要求；本招标项目特点、难点、重点等的技术分析和处理措施等</w:t>
      </w:r>
      <w:r>
        <w:rPr>
          <w:rFonts w:hint="eastAsia" w:ascii="仿宋_GB2312" w:hAnsi="黑体" w:eastAsia="仿宋_GB2312" w:cs="黑体"/>
          <w:color w:val="000000"/>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黑体" w:eastAsia="仿宋_GB2312" w:cs="黑体"/>
          <w:color w:val="000000"/>
          <w:sz w:val="32"/>
          <w:szCs w:val="32"/>
        </w:rPr>
      </w:pPr>
      <w:r>
        <w:rPr>
          <w:rFonts w:hint="eastAsia" w:ascii="仿宋_GB2312" w:hAnsi="黑体" w:eastAsia="仿宋_GB2312" w:cs="黑体"/>
          <w:color w:val="000000"/>
          <w:sz w:val="32"/>
          <w:szCs w:val="32"/>
          <w:lang w:val="en-US" w:eastAsia="zh-CN"/>
        </w:rPr>
        <w:t>3、</w:t>
      </w:r>
      <w:r>
        <w:rPr>
          <w:rFonts w:hint="eastAsia" w:ascii="仿宋_GB2312" w:hAnsi="黑体" w:eastAsia="仿宋_GB2312" w:cs="黑体"/>
          <w:color w:val="000000"/>
          <w:sz w:val="32"/>
          <w:szCs w:val="32"/>
        </w:rPr>
        <w:t>项目的组织机构；</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黑体" w:eastAsia="仿宋_GB2312" w:cs="黑体"/>
          <w:color w:val="000000"/>
          <w:sz w:val="32"/>
          <w:szCs w:val="32"/>
        </w:rPr>
      </w:pPr>
      <w:r>
        <w:rPr>
          <w:rFonts w:hint="eastAsia" w:ascii="仿宋_GB2312" w:hAnsi="黑体" w:eastAsia="仿宋_GB2312" w:cs="黑体"/>
          <w:color w:val="000000"/>
          <w:sz w:val="32"/>
          <w:szCs w:val="32"/>
          <w:lang w:val="en-US" w:eastAsia="zh-CN"/>
        </w:rPr>
        <w:t>4、</w:t>
      </w:r>
      <w:r>
        <w:rPr>
          <w:rFonts w:hint="eastAsia" w:ascii="仿宋_GB2312" w:hAnsi="黑体" w:eastAsia="仿宋_GB2312" w:cs="黑体"/>
          <w:color w:val="000000"/>
          <w:sz w:val="32"/>
          <w:szCs w:val="32"/>
        </w:rPr>
        <w:t>工作质量保证体系及措施和技术手段，以及建设项目开始实施后，</w:t>
      </w:r>
      <w:r>
        <w:rPr>
          <w:rFonts w:hint="eastAsia" w:ascii="仿宋_GB2312" w:hAnsi="黑体" w:eastAsia="仿宋_GB2312" w:cs="黑体"/>
          <w:color w:val="000000"/>
          <w:sz w:val="32"/>
          <w:szCs w:val="32"/>
          <w:lang w:val="en-US" w:eastAsia="zh-CN"/>
        </w:rPr>
        <w:t>实施</w:t>
      </w:r>
      <w:r>
        <w:rPr>
          <w:rFonts w:hint="eastAsia" w:ascii="仿宋_GB2312" w:hAnsi="黑体" w:eastAsia="仿宋_GB2312" w:cs="黑体"/>
          <w:color w:val="000000"/>
          <w:sz w:val="32"/>
          <w:szCs w:val="32"/>
        </w:rPr>
        <w:t>方对后续服务的承诺及其他承诺；</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黑体" w:eastAsia="仿宋_GB2312" w:cs="黑体"/>
          <w:color w:val="000000"/>
          <w:sz w:val="32"/>
          <w:szCs w:val="32"/>
        </w:rPr>
      </w:pPr>
      <w:r>
        <w:rPr>
          <w:rFonts w:hint="eastAsia" w:ascii="仿宋_GB2312" w:hAnsi="黑体" w:eastAsia="仿宋_GB2312" w:cs="黑体"/>
          <w:color w:val="000000"/>
          <w:sz w:val="32"/>
          <w:szCs w:val="32"/>
          <w:lang w:val="en-US" w:eastAsia="zh-CN"/>
        </w:rPr>
        <w:t>5、</w:t>
      </w:r>
      <w:r>
        <w:rPr>
          <w:rFonts w:hint="eastAsia" w:ascii="仿宋_GB2312" w:hAnsi="黑体" w:eastAsia="仿宋_GB2312" w:cs="黑体"/>
          <w:color w:val="000000"/>
          <w:sz w:val="32"/>
          <w:szCs w:val="32"/>
        </w:rPr>
        <w:t>项目进度计划，对本项目总体进度计划、对关键点进度控制的可行性和保证措施；</w:t>
      </w:r>
    </w:p>
    <w:p>
      <w:pPr>
        <w:ind w:firstLine="640" w:firstLineChars="200"/>
      </w:pPr>
      <w:r>
        <w:rPr>
          <w:rFonts w:hint="eastAsia" w:ascii="仿宋_GB2312" w:hAnsi="黑体" w:eastAsia="仿宋_GB2312" w:cs="黑体"/>
          <w:color w:val="000000"/>
          <w:sz w:val="32"/>
          <w:szCs w:val="32"/>
          <w:lang w:val="en-US" w:eastAsia="zh-CN"/>
        </w:rPr>
        <w:t>6、</w:t>
      </w:r>
      <w:r>
        <w:rPr>
          <w:rFonts w:hint="eastAsia" w:ascii="仿宋_GB2312" w:hAnsi="黑体" w:eastAsia="仿宋_GB2312" w:cs="黑体"/>
          <w:color w:val="000000"/>
          <w:sz w:val="32"/>
          <w:szCs w:val="32"/>
        </w:rPr>
        <w:t>投标人对项目设计的其他优势，以及对本项目设计的合理化建议。</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6DA49D8F-EDFD-4991-8A63-877A448DDB63}"/>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embedRegular r:id="rId2" w:fontKey="{856237EC-DDA3-43AB-A584-086E9CC6E1F4}"/>
  </w:font>
  <w:font w:name="楷体_GB2312">
    <w:panose1 w:val="02010609030101010101"/>
    <w:charset w:val="86"/>
    <w:family w:val="modern"/>
    <w:pitch w:val="default"/>
    <w:sig w:usb0="00000001" w:usb1="080E0000" w:usb2="00000000" w:usb3="00000000" w:csb0="00040000" w:csb1="00000000"/>
    <w:embedRegular r:id="rId3" w:fontKey="{199AC2E4-A0DD-4236-9FEF-B7D78CA2E588}"/>
  </w:font>
  <w:font w:name="Cambria">
    <w:panose1 w:val="02040503050406030204"/>
    <w:charset w:val="00"/>
    <w:family w:val="roman"/>
    <w:pitch w:val="default"/>
    <w:sig w:usb0="E00006FF" w:usb1="420024FF" w:usb2="02000000" w:usb3="00000000" w:csb0="2000019F" w:csb1="00000000"/>
  </w:font>
  <w:font w:name="方正小标宋简体">
    <w:panose1 w:val="02000000000000000000"/>
    <w:charset w:val="86"/>
    <w:family w:val="auto"/>
    <w:pitch w:val="default"/>
    <w:sig w:usb0="00000001" w:usb1="08000000" w:usb2="00000000" w:usb3="00000000" w:csb0="00040000" w:csb1="00000000"/>
    <w:embedRegular r:id="rId4" w:fontKey="{C9EFECB3-EE99-4013-BF6B-C2DD4FE58FD6}"/>
  </w:font>
  <w:font w:name="仿宋">
    <w:panose1 w:val="02010609060101010101"/>
    <w:charset w:val="86"/>
    <w:family w:val="auto"/>
    <w:pitch w:val="default"/>
    <w:sig w:usb0="800002BF" w:usb1="38CF7CFA" w:usb2="00000016" w:usb3="00000000" w:csb0="00040001" w:csb1="00000000"/>
    <w:embedRegular r:id="rId5" w:fontKey="{878FABBB-3F95-4C40-A770-5B238DF405EF}"/>
  </w:font>
  <w:font w:name="PingFangSC-Regular">
    <w:altName w:val="Segoe Print"/>
    <w:panose1 w:val="00000000000000000000"/>
    <w:charset w:val="00"/>
    <w:family w:val="auto"/>
    <w:pitch w:val="default"/>
    <w:sig w:usb0="00000000" w:usb1="00000000" w:usb2="00000000" w:usb3="00000000" w:csb0="00000000" w:csb1="00000000"/>
    <w:embedRegular r:id="rId6" w:fontKey="{3DEF66A1-74A6-478D-88A4-531A1503FFBA}"/>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right"/>
    </w:pPr>
    <w:r>
      <w:fldChar w:fldCharType="begin"/>
    </w:r>
    <w:r>
      <w:instrText xml:space="preserve">PAGE   \* MERGEFORMAT</w:instrText>
    </w:r>
    <w:r>
      <w:fldChar w:fldCharType="separate"/>
    </w:r>
    <w:r>
      <w:rPr>
        <w:lang w:val="zh-CN"/>
      </w:rPr>
      <w:t>1</w:t>
    </w:r>
    <w:r>
      <w:fldChar w:fldCharType="end"/>
    </w:r>
  </w:p>
  <w:p>
    <w:pPr>
      <w:pStyle w:val="8"/>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4A606EE"/>
    <w:multiLevelType w:val="singleLevel"/>
    <w:tmpl w:val="14A606EE"/>
    <w:lvl w:ilvl="0" w:tentative="0">
      <w:start w:val="1"/>
      <w:numFmt w:val="chineseCounting"/>
      <w:suff w:val="nothing"/>
      <w:lvlText w:val="%1、"/>
      <w:lvlJc w:val="left"/>
      <w:rPr>
        <w:rFonts w:hint="eastAsia"/>
      </w:rPr>
    </w:lvl>
  </w:abstractNum>
  <w:abstractNum w:abstractNumId="1">
    <w:nsid w:val="1FCCC96F"/>
    <w:multiLevelType w:val="singleLevel"/>
    <w:tmpl w:val="1FCCC96F"/>
    <w:lvl w:ilvl="0" w:tentative="0">
      <w:start w:val="1"/>
      <w:numFmt w:val="decimal"/>
      <w:suff w:val="nothing"/>
      <w:lvlText w:val="（%1）"/>
      <w:lvlJc w:val="left"/>
      <w:pPr>
        <w:ind w:left="0" w:firstLine="224"/>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czYTgxNWFkZGI4YzJhYzgwY2IyMDgwMTdjY2RiNTQifQ=="/>
  </w:docVars>
  <w:rsids>
    <w:rsidRoot w:val="03C54BEC"/>
    <w:rsid w:val="0055574E"/>
    <w:rsid w:val="010B405F"/>
    <w:rsid w:val="0278711C"/>
    <w:rsid w:val="03C30C20"/>
    <w:rsid w:val="03C54BEC"/>
    <w:rsid w:val="06882D22"/>
    <w:rsid w:val="07CA70AF"/>
    <w:rsid w:val="0AA0137B"/>
    <w:rsid w:val="0BFD1223"/>
    <w:rsid w:val="0C0011B9"/>
    <w:rsid w:val="0DC932D7"/>
    <w:rsid w:val="0F3A448D"/>
    <w:rsid w:val="11E06E41"/>
    <w:rsid w:val="12936D70"/>
    <w:rsid w:val="13A91BE1"/>
    <w:rsid w:val="13E31AAE"/>
    <w:rsid w:val="14EB629A"/>
    <w:rsid w:val="15A563D8"/>
    <w:rsid w:val="186926A4"/>
    <w:rsid w:val="1E191D3D"/>
    <w:rsid w:val="1E635082"/>
    <w:rsid w:val="1EA25BAA"/>
    <w:rsid w:val="1FA92F69"/>
    <w:rsid w:val="2305495A"/>
    <w:rsid w:val="230E0A17"/>
    <w:rsid w:val="245E2574"/>
    <w:rsid w:val="24F43EA6"/>
    <w:rsid w:val="28660E58"/>
    <w:rsid w:val="2A107B18"/>
    <w:rsid w:val="2D104627"/>
    <w:rsid w:val="2F7E3ACA"/>
    <w:rsid w:val="34C24459"/>
    <w:rsid w:val="35F745D6"/>
    <w:rsid w:val="379D0FA7"/>
    <w:rsid w:val="3A443B62"/>
    <w:rsid w:val="3BB54D17"/>
    <w:rsid w:val="3C805325"/>
    <w:rsid w:val="43770B04"/>
    <w:rsid w:val="49E07403"/>
    <w:rsid w:val="4C79769B"/>
    <w:rsid w:val="4D97348C"/>
    <w:rsid w:val="53111A7D"/>
    <w:rsid w:val="546E6E1F"/>
    <w:rsid w:val="570D55B0"/>
    <w:rsid w:val="5875132E"/>
    <w:rsid w:val="591946E0"/>
    <w:rsid w:val="5B3F1D42"/>
    <w:rsid w:val="5F0E4D74"/>
    <w:rsid w:val="5F7B7B43"/>
    <w:rsid w:val="6022565B"/>
    <w:rsid w:val="641D6272"/>
    <w:rsid w:val="68CA3301"/>
    <w:rsid w:val="6A5C61DA"/>
    <w:rsid w:val="6D390A55"/>
    <w:rsid w:val="705B180C"/>
    <w:rsid w:val="708A15C7"/>
    <w:rsid w:val="71003969"/>
    <w:rsid w:val="716A5681"/>
    <w:rsid w:val="71F171DA"/>
    <w:rsid w:val="73FC458A"/>
    <w:rsid w:val="744C5512"/>
    <w:rsid w:val="74681C20"/>
    <w:rsid w:val="74D3353D"/>
    <w:rsid w:val="79532E9E"/>
    <w:rsid w:val="795B3127"/>
    <w:rsid w:val="7B0109A2"/>
    <w:rsid w:val="7B205002"/>
    <w:rsid w:val="7F370B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Times New Roman"/>
      <w:sz w:val="24"/>
      <w:szCs w:val="24"/>
      <w:lang w:val="en-US" w:eastAsia="zh-CN" w:bidi="ar-SA"/>
    </w:rPr>
  </w:style>
  <w:style w:type="paragraph" w:styleId="5">
    <w:name w:val="heading 1"/>
    <w:basedOn w:val="1"/>
    <w:next w:val="1"/>
    <w:autoRedefine/>
    <w:qFormat/>
    <w:uiPriority w:val="0"/>
    <w:pPr>
      <w:keepNext/>
      <w:keepLines/>
      <w:spacing w:before="340" w:beforeLines="0" w:beforeAutospacing="0" w:after="330" w:afterLines="0" w:afterAutospacing="0" w:line="576" w:lineRule="auto"/>
      <w:outlineLvl w:val="0"/>
    </w:pPr>
    <w:rPr>
      <w:b/>
      <w:kern w:val="44"/>
      <w:sz w:val="44"/>
    </w:rPr>
  </w:style>
  <w:style w:type="paragraph" w:styleId="6">
    <w:name w:val="heading 2"/>
    <w:basedOn w:val="1"/>
    <w:next w:val="1"/>
    <w:autoRedefine/>
    <w:semiHidden/>
    <w:unhideWhenUsed/>
    <w:qFormat/>
    <w:uiPriority w:val="0"/>
    <w:pPr>
      <w:keepNext/>
      <w:keepLines/>
      <w:snapToGrid w:val="0"/>
      <w:spacing w:line="360" w:lineRule="auto"/>
      <w:outlineLvl w:val="1"/>
    </w:pPr>
    <w:rPr>
      <w:rFonts w:ascii="Times New Roman" w:hAnsi="Times New Roman" w:eastAsia="黑体" w:cs="Times New Roman"/>
      <w:b/>
      <w:kern w:val="2"/>
      <w:sz w:val="28"/>
      <w:szCs w:val="24"/>
    </w:rPr>
  </w:style>
  <w:style w:type="character" w:default="1" w:styleId="14">
    <w:name w:val="Default Paragraph Font"/>
    <w:autoRedefine/>
    <w:semiHidden/>
    <w:qFormat/>
    <w:uiPriority w:val="0"/>
  </w:style>
  <w:style w:type="table" w:default="1" w:styleId="13">
    <w:name w:val="Normal Table"/>
    <w:autoRedefine/>
    <w:semiHidden/>
    <w:qFormat/>
    <w:uiPriority w:val="0"/>
    <w:tblPr>
      <w:tblCellMar>
        <w:top w:w="0" w:type="dxa"/>
        <w:left w:w="108" w:type="dxa"/>
        <w:bottom w:w="0" w:type="dxa"/>
        <w:right w:w="108" w:type="dxa"/>
      </w:tblCellMar>
    </w:tblPr>
  </w:style>
  <w:style w:type="paragraph" w:customStyle="1" w:styleId="2">
    <w:name w:val="正文文字"/>
    <w:basedOn w:val="3"/>
    <w:next w:val="1"/>
    <w:autoRedefine/>
    <w:qFormat/>
    <w:uiPriority w:val="99"/>
    <w:pPr>
      <w:ind w:firstLine="200"/>
    </w:pPr>
    <w:rPr>
      <w:rFonts w:ascii="仿宋_GB2312" w:eastAsia="仿宋_GB2312"/>
      <w:sz w:val="32"/>
      <w:szCs w:val="32"/>
    </w:rPr>
  </w:style>
  <w:style w:type="paragraph" w:styleId="3">
    <w:name w:val="Body Text First Indent"/>
    <w:basedOn w:val="4"/>
    <w:autoRedefine/>
    <w:qFormat/>
    <w:uiPriority w:val="0"/>
    <w:pPr>
      <w:ind w:firstLine="420" w:firstLineChars="100"/>
    </w:pPr>
  </w:style>
  <w:style w:type="paragraph" w:styleId="4">
    <w:name w:val="Body Text"/>
    <w:basedOn w:val="1"/>
    <w:next w:val="3"/>
    <w:autoRedefine/>
    <w:qFormat/>
    <w:uiPriority w:val="0"/>
    <w:pPr>
      <w:spacing w:after="120"/>
    </w:pPr>
  </w:style>
  <w:style w:type="paragraph" w:styleId="7">
    <w:name w:val="Body Text Indent"/>
    <w:basedOn w:val="1"/>
    <w:autoRedefine/>
    <w:qFormat/>
    <w:uiPriority w:val="0"/>
    <w:pPr>
      <w:spacing w:line="440" w:lineRule="exact"/>
      <w:ind w:firstLine="200"/>
    </w:pPr>
    <w:rPr>
      <w:rFonts w:eastAsia="楷体_GB2312"/>
      <w:kern w:val="2"/>
    </w:rPr>
  </w:style>
  <w:style w:type="paragraph" w:styleId="8">
    <w:name w:val="footer"/>
    <w:basedOn w:val="1"/>
    <w:autoRedefine/>
    <w:qFormat/>
    <w:uiPriority w:val="99"/>
    <w:pPr>
      <w:tabs>
        <w:tab w:val="center" w:pos="4153"/>
        <w:tab w:val="right" w:pos="8306"/>
      </w:tabs>
      <w:snapToGrid w:val="0"/>
      <w:jc w:val="left"/>
    </w:pPr>
    <w:rPr>
      <w:kern w:val="2"/>
      <w:sz w:val="18"/>
      <w:szCs w:val="18"/>
    </w:rPr>
  </w:style>
  <w:style w:type="paragraph" w:styleId="9">
    <w:name w:val="toc 1"/>
    <w:basedOn w:val="1"/>
    <w:next w:val="1"/>
    <w:autoRedefine/>
    <w:qFormat/>
    <w:uiPriority w:val="39"/>
    <w:pPr>
      <w:tabs>
        <w:tab w:val="right" w:leader="dot" w:pos="8302"/>
      </w:tabs>
      <w:spacing w:line="440" w:lineRule="exact"/>
      <w:jc w:val="left"/>
    </w:pPr>
    <w:rPr>
      <w:color w:val="000000"/>
      <w:szCs w:val="21"/>
    </w:rPr>
  </w:style>
  <w:style w:type="paragraph" w:styleId="10">
    <w:name w:val="Normal (Web)"/>
    <w:basedOn w:val="1"/>
    <w:autoRedefine/>
    <w:qFormat/>
    <w:uiPriority w:val="99"/>
    <w:pPr>
      <w:widowControl/>
      <w:spacing w:before="100" w:beforeAutospacing="1" w:after="100" w:afterAutospacing="1"/>
      <w:jc w:val="left"/>
    </w:pPr>
    <w:rPr>
      <w:rFonts w:ascii="宋体" w:hAnsi="宋体"/>
      <w:color w:val="000000"/>
      <w:kern w:val="0"/>
      <w:sz w:val="24"/>
    </w:rPr>
  </w:style>
  <w:style w:type="paragraph" w:styleId="11">
    <w:name w:val="Title"/>
    <w:basedOn w:val="1"/>
    <w:next w:val="1"/>
    <w:autoRedefine/>
    <w:qFormat/>
    <w:uiPriority w:val="0"/>
    <w:pPr>
      <w:spacing w:before="240" w:after="60"/>
      <w:jc w:val="center"/>
      <w:outlineLvl w:val="0"/>
    </w:pPr>
    <w:rPr>
      <w:rFonts w:ascii="Cambria" w:hAnsi="Cambria"/>
      <w:b/>
      <w:bCs/>
      <w:kern w:val="2"/>
      <w:sz w:val="32"/>
      <w:szCs w:val="32"/>
    </w:rPr>
  </w:style>
  <w:style w:type="paragraph" w:styleId="12">
    <w:name w:val="Body Text First Indent 2"/>
    <w:basedOn w:val="7"/>
    <w:autoRedefine/>
    <w:qFormat/>
    <w:uiPriority w:val="0"/>
    <w:pPr>
      <w:spacing w:after="120" w:line="240" w:lineRule="auto"/>
      <w:ind w:left="420" w:leftChars="200" w:firstLine="420" w:firstLineChars="200"/>
    </w:pPr>
    <w:rPr>
      <w:rFonts w:eastAsia="宋体"/>
      <w:kern w:val="0"/>
    </w:rPr>
  </w:style>
  <w:style w:type="character" w:customStyle="1" w:styleId="15">
    <w:name w:val="NormalCharacter"/>
    <w:autoRedefine/>
    <w:qFormat/>
    <w:uiPriority w:val="0"/>
  </w:style>
  <w:style w:type="paragraph" w:customStyle="1" w:styleId="16">
    <w:name w:val="Table Paragraph"/>
    <w:basedOn w:val="1"/>
    <w:autoRedefine/>
    <w:qFormat/>
    <w:uiPriority w:val="1"/>
    <w:pPr>
      <w:jc w:val="left"/>
    </w:pPr>
    <w:rPr>
      <w:rFonts w:ascii="Calibri" w:hAnsi="Calibri"/>
      <w:kern w:val="0"/>
      <w:sz w:val="22"/>
      <w:szCs w:val="22"/>
      <w:lang w:eastAsia="en-US"/>
    </w:rPr>
  </w:style>
  <w:style w:type="table" w:customStyle="1" w:styleId="17">
    <w:name w:val="Table Normal"/>
    <w:autoRedefine/>
    <w:unhideWhenUsed/>
    <w:qFormat/>
    <w:uiPriority w:val="2"/>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88</TotalTime>
  <ScaleCrop>false</ScaleCrop>
  <LinksUpToDate>false</LinksUpToDate>
  <CharactersWithSpaces>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2023-02-02T02:31:00Z</dcterms:created>
  <dc:creator>admin</dc:creator>
  <cp:lastModifiedBy></cp:lastModifiedBy>
  <cp:lastPrinted>2024-03-05T01:46:55Z</cp:lastPrinted>
  <dcterms:modified xsi:type="dcterms:W3CDTF">2024-03-05T03:26:21Z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1739B6736B7A49E3807D181D14B9B5CF_13</vt:lpwstr>
  </property>
</Properties>
</file>