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bidi w:val="0"/>
        <w:jc w:val="center"/>
      </w:pPr>
      <w:r>
        <w:rPr>
          <w:rFonts w:hint="eastAsia"/>
          <w:lang w:val="en-US" w:eastAsia="zh-CN"/>
        </w:rPr>
        <w:t>冯家湾地块测绘定界项目的招标</w:t>
      </w:r>
      <w:r>
        <w:rPr>
          <w:rFonts w:hint="eastAsia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依据黄石市城发土地资产运营管理有限公司计划，拟就冯家湾地块测绘定界项目以公开招标的方式进行采购，欢迎符合资格条件的招标投标人参与本项目的招标。具体事项如下：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Toc21610"/>
      <w:bookmarkStart w:id="1" w:name="_Toc22193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项目概况</w:t>
      </w:r>
      <w:bookmarkEnd w:id="0"/>
      <w:bookmarkEnd w:id="1"/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项目名称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冯家湾地块测绘定界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周期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中标单位自中标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之日起30日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内提供书面的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测绘定界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报告。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最高预算：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12.5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整个项目打包的包干费用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），超过最高价为无效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outlineLvl w:val="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2" w:name="_Toc27526"/>
      <w:bookmarkStart w:id="3" w:name="_Toc16516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二、采购需求</w:t>
      </w:r>
      <w:bookmarkEnd w:id="2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依据相关法律法规和行政监管文件要求及采购人委托，对该项目进行测绘定界，并在收到采购人委托后的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30个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日历天内完成测绘定界工作并出具相关测绘报告，工作内容包括：项目现场勘察，采购、测量、安装电子界桩，并完成所有电子界桩在相关部门的电子备案，编制测绘报告以及报告修改等工作。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1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4" w:name="_Toc10730"/>
      <w:bookmarkStart w:id="5" w:name="_Toc25168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三、资格条件</w:t>
      </w:r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合格的报价人应具有全面履行合同的能力，并应符合下列条件：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Style w:val="15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Style w:val="15"/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（一）</w:t>
      </w:r>
      <w:r>
        <w:rPr>
          <w:rStyle w:val="15"/>
          <w:rFonts w:hint="eastAsia" w:ascii="仿宋_GB2312" w:hAnsi="仿宋_GB2312" w:eastAsia="仿宋_GB2312" w:cs="仿宋_GB2312"/>
          <w:sz w:val="32"/>
          <w:szCs w:val="32"/>
          <w:highlight w:val="none"/>
        </w:rPr>
        <w:t>满足《中华人民共和国政府采购法》第二十二条规定</w:t>
      </w:r>
      <w:r>
        <w:rPr>
          <w:rStyle w:val="15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pStyle w:val="2"/>
        <w:ind w:firstLine="640" w:firstLineChars="200"/>
        <w:rPr>
          <w:rStyle w:val="15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Style w:val="15"/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（二）</w:t>
      </w:r>
      <w:r>
        <w:rPr>
          <w:rStyle w:val="15"/>
          <w:rFonts w:hint="eastAsia" w:ascii="仿宋_GB2312" w:hAnsi="仿宋_GB2312" w:eastAsia="仿宋_GB2312" w:cs="仿宋_GB2312"/>
          <w:sz w:val="32"/>
          <w:szCs w:val="32"/>
          <w:highlight w:val="none"/>
        </w:rPr>
        <w:t>在中国境内注册并取得的具备独立法人资格的营业执照（三证合一），具有相应的经营范围，且在有效期内</w:t>
      </w:r>
      <w:r>
        <w:rPr>
          <w:rStyle w:val="15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pStyle w:val="2"/>
        <w:ind w:firstLine="640" w:firstLineChars="200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（三）</w:t>
      </w:r>
      <w:r>
        <w:rPr>
          <w:rStyle w:val="15"/>
          <w:rFonts w:hint="eastAsia" w:ascii="仿宋_GB2312" w:hAnsi="仿宋_GB2312" w:eastAsia="仿宋_GB2312" w:cs="仿宋_GB2312"/>
          <w:sz w:val="32"/>
          <w:szCs w:val="32"/>
          <w:highlight w:val="none"/>
        </w:rPr>
        <w:t>近三年（</w:t>
      </w:r>
      <w:r>
        <w:rPr>
          <w:rStyle w:val="15"/>
          <w:rFonts w:hint="eastAsia" w:hAnsi="仿宋_GB2312" w:cs="仿宋_GB2312"/>
          <w:sz w:val="32"/>
          <w:szCs w:val="32"/>
          <w:highlight w:val="none"/>
          <w:lang w:val="en-US" w:eastAsia="zh-CN"/>
        </w:rPr>
        <w:t>公告</w:t>
      </w:r>
      <w:r>
        <w:rPr>
          <w:rStyle w:val="15"/>
          <w:rFonts w:hint="eastAsia" w:ascii="仿宋_GB2312" w:hAnsi="仿宋_GB2312" w:eastAsia="仿宋_GB2312" w:cs="仿宋_GB2312"/>
          <w:sz w:val="32"/>
          <w:szCs w:val="32"/>
          <w:highlight w:val="none"/>
        </w:rPr>
        <w:t>截止日前三年）至少完成过类似</w:t>
      </w:r>
      <w:r>
        <w:rPr>
          <w:rStyle w:val="15"/>
          <w:rFonts w:hint="eastAsia" w:hAnsi="仿宋_GB2312" w:cs="仿宋_GB2312"/>
          <w:sz w:val="32"/>
          <w:szCs w:val="32"/>
          <w:highlight w:val="none"/>
          <w:lang w:val="en-US" w:eastAsia="zh-CN"/>
        </w:rPr>
        <w:t>测绘定界</w:t>
      </w:r>
      <w:r>
        <w:rPr>
          <w:rStyle w:val="15"/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业绩</w:t>
      </w:r>
      <w:r>
        <w:rPr>
          <w:rStyle w:val="15"/>
          <w:rFonts w:hint="eastAsia" w:ascii="仿宋_GB2312" w:hAnsi="仿宋_GB2312" w:eastAsia="仿宋_GB2312" w:cs="仿宋_GB2312"/>
          <w:sz w:val="32"/>
          <w:szCs w:val="32"/>
          <w:highlight w:val="none"/>
        </w:rPr>
        <w:t>（须提供中标通知书或合同协议书并加盖公章）</w:t>
      </w:r>
      <w:r>
        <w:rPr>
          <w:rStyle w:val="15"/>
          <w:rFonts w:hint="eastAsia" w:hAnsi="仿宋_GB2312" w:cs="仿宋_GB2312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（四）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未被列入“信用中国”网站(www.creditchina.gov.cn)失信被执行人、重大税收违法案件当事人，以评审当日查询结果为准。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bookmarkStart w:id="6" w:name="_Toc11973"/>
      <w:bookmarkStart w:id="7" w:name="_Toc32464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四、投标文件内容（均需盖公章）</w:t>
      </w:r>
      <w:bookmarkEnd w:id="6"/>
      <w:bookmarkEnd w:id="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报价表（附件1）；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授权委托书（附件2）；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营业执照副本或事业单位法人证书复印件；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“信用中国”查询截图；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承诺书（附件3）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近三年业绩合同复印件。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文件要求装订成册后密封，一式三份，报价大小写数据不一致以大写为准，总价与单价不一致以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</w:rPr>
        <w:t>价为准。如有弄虚作假行为，视同放弃中标资格并承担相应的法律责任。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bookmarkStart w:id="8" w:name="_Toc1173"/>
      <w:bookmarkStart w:id="9" w:name="_Toc1602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五、中标原则</w:t>
      </w:r>
      <w:bookmarkEnd w:id="8"/>
      <w:bookmarkEnd w:id="9"/>
    </w:p>
    <w:p>
      <w:pPr>
        <w:pStyle w:val="10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Autospacing="0" w:after="0" w:afterAutospacing="0" w:line="52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-SA"/>
        </w:rPr>
        <w:t>本项目采用“综合评分”方法实施招投标活动，有关条款详见招标文件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bookmarkStart w:id="10" w:name="_Toc22706"/>
      <w:bookmarkStart w:id="11" w:name="_Toc32421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六、签订合同及付款方式</w:t>
      </w:r>
      <w:bookmarkEnd w:id="10"/>
      <w:bookmarkEnd w:id="1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采购文件、成交供应商的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文件及有效承诺文件、澄清文件等，均作为签订合同的依据，付款方式为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项目完成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后30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日内付清全部合同款，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具体以合同为准。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40" w:firstLineChars="200"/>
        <w:textAlignment w:val="auto"/>
        <w:outlineLvl w:val="1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12" w:name="_Toc32676"/>
      <w:bookmarkStart w:id="13" w:name="_Toc22216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七、投标文件的递交</w:t>
      </w:r>
      <w:bookmarkEnd w:id="12"/>
      <w:bookmarkEnd w:id="1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文件递交截止时间（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递交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时间）：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  <w:t>12</w:t>
      </w:r>
      <w:bookmarkStart w:id="30" w:name="_GoBack"/>
      <w:bookmarkEnd w:id="30"/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午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instrText xml:space="preserve"> HYPERLINK "https://www.baidu.com/link?url=uL3RrtTBbv5YS27LDfW7zFtaCwgC40oB2h08ZBgDe-i&amp;amp;wd&amp;amp;eqid=f29a7d930012f6ac000000065d517826" \h </w:instrTex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递交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黄石市城发土地资产运营管理有限公司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地址：黄石城发集团颐阳路办公区4楼会议室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文件采取现场递交的方式进行，截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时间后递交的响应文件不予接收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14" w:name="_Toc538"/>
      <w:bookmarkStart w:id="15" w:name="_Toc29977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八、发布公告的媒介</w:t>
      </w:r>
      <w:bookmarkEnd w:id="14"/>
      <w:bookmarkEnd w:id="1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bookmarkStart w:id="16" w:name="_Toc73631899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公告在黄石市城市发展投资集团有限公司网上发布。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1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17" w:name="_Toc4326"/>
      <w:bookmarkStart w:id="18" w:name="_Toc14156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九、联系方式</w:t>
      </w:r>
      <w:bookmarkEnd w:id="16"/>
      <w:bookmarkEnd w:id="17"/>
      <w:bookmarkEnd w:id="18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采 购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人：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黄石市城发土地资产运营管理有限公司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联 系 人：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舒 工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 xml:space="preserve">电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话：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19872211890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420" w:firstLineChars="200"/>
        <w:textAlignment w:val="auto"/>
        <w:rPr>
          <w:rFonts w:hint="eastAsia" w:eastAsia="宋体" w:cs="宋体"/>
          <w:kern w:val="0"/>
          <w:sz w:val="21"/>
          <w:szCs w:val="21"/>
          <w:highlight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eastAsia="宋体" w:cs="宋体"/>
          <w:kern w:val="0"/>
          <w:sz w:val="21"/>
          <w:szCs w:val="21"/>
          <w:highlight w:val="none"/>
          <w:lang w:val="en-US" w:eastAsia="zh-CN" w:bidi="ar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黄石市城发土地资产运营管理有限公司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  <w:lang w:val="en-US" w:eastAsia="zh-CN"/>
        </w:rPr>
        <w:t>2024年3月5日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19" w:name="_Toc28270"/>
      <w:bookmarkStart w:id="20" w:name="_Toc9385"/>
    </w:p>
    <w:bookmarkEnd w:id="19"/>
    <w:bookmarkEnd w:id="20"/>
    <w:p>
      <w:pPr>
        <w:adjustRightInd w:val="0"/>
        <w:snapToGrid w:val="0"/>
        <w:spacing w:line="400" w:lineRule="exact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21" w:name="_Toc11679"/>
      <w:bookmarkStart w:id="22" w:name="_Toc17281"/>
    </w:p>
    <w:p>
      <w:pPr>
        <w:adjustRightInd w:val="0"/>
        <w:snapToGrid w:val="0"/>
        <w:spacing w:line="400" w:lineRule="exact"/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End w:id="21"/>
      <w:bookmarkEnd w:id="22"/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  价  表</w:t>
      </w:r>
    </w:p>
    <w:p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仿宋_GB2312" w:hAnsi="仿宋" w:eastAsia="仿宋_GB2312" w:cs="仿宋"/>
          <w:sz w:val="32"/>
          <w:szCs w:val="32"/>
          <w:lang w:val="en-US"/>
        </w:rPr>
      </w:pPr>
      <w:r>
        <w:rPr>
          <w:rFonts w:hint="eastAsia" w:ascii="仿宋_GB2312" w:hAnsi="仿宋" w:eastAsia="仿宋_GB2312" w:cs="仿宋"/>
          <w:sz w:val="32"/>
          <w:szCs w:val="32"/>
        </w:rPr>
        <w:t>项目名称：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冯家湾地块测绘定界项目</w:t>
      </w:r>
    </w:p>
    <w:tbl>
      <w:tblPr>
        <w:tblStyle w:val="13"/>
        <w:tblW w:w="9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2"/>
        <w:gridCol w:w="2681"/>
        <w:gridCol w:w="2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4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项目名称</w:t>
            </w:r>
          </w:p>
        </w:tc>
        <w:tc>
          <w:tcPr>
            <w:tcW w:w="26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报价（万元）</w:t>
            </w:r>
          </w:p>
        </w:tc>
        <w:tc>
          <w:tcPr>
            <w:tcW w:w="2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4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冯家湾地块测绘定界项目</w:t>
            </w:r>
          </w:p>
        </w:tc>
        <w:tc>
          <w:tcPr>
            <w:tcW w:w="2681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2575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41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大写</w:t>
            </w:r>
          </w:p>
        </w:tc>
        <w:tc>
          <w:tcPr>
            <w:tcW w:w="525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 w:eastAsia="仿宋_GB2312" w:cs="仿宋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参与报价单位（盖章）：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法定代表人或其委托代理人（签字）：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  <w:r>
        <w:rPr>
          <w:rFonts w:hint="eastAsia" w:ascii="仿宋_GB2312" w:hAnsi="仿宋" w:eastAsia="仿宋_GB2312" w:cs="仿宋"/>
          <w:sz w:val="32"/>
          <w:szCs w:val="32"/>
        </w:rPr>
        <w:t>年 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701" w:right="1134" w:bottom="1134" w:left="1474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23" w:name="_Toc6344"/>
      <w:bookmarkStart w:id="24" w:name="_Toc6389"/>
      <w:r>
        <w:rPr>
          <w:rFonts w:hint="eastAsia" w:ascii="黑体" w:hAnsi="黑体" w:eastAsia="黑体" w:cs="黑体"/>
          <w:sz w:val="32"/>
          <w:szCs w:val="32"/>
        </w:rPr>
        <w:t>附件2</w:t>
      </w:r>
      <w:bookmarkEnd w:id="23"/>
      <w:bookmarkEnd w:id="24"/>
      <w:r>
        <w:rPr>
          <w:rFonts w:hint="eastAsia" w:ascii="黑体" w:hAnsi="黑体" w:eastAsia="黑体" w:cs="黑体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25" w:name="_Toc6559"/>
      <w:bookmarkStart w:id="26" w:name="_Toc386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法定代表人授权委托书</w:t>
      </w:r>
      <w:bookmarkEnd w:id="25"/>
      <w:bookmarkEnd w:id="26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本授权委托书声明：我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（姓名）</w:t>
      </w:r>
      <w:r>
        <w:rPr>
          <w:rFonts w:hint="eastAsia" w:ascii="仿宋_GB2312" w:hAnsi="仿宋" w:eastAsia="仿宋_GB2312" w:cs="仿宋"/>
          <w:sz w:val="32"/>
          <w:szCs w:val="32"/>
        </w:rPr>
        <w:t>系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（响应人）    </w:t>
      </w:r>
      <w:r>
        <w:rPr>
          <w:rFonts w:hint="eastAsia" w:ascii="仿宋_GB2312" w:hAnsi="仿宋" w:eastAsia="仿宋_GB2312" w:cs="仿宋"/>
          <w:sz w:val="32"/>
          <w:szCs w:val="32"/>
        </w:rPr>
        <w:t>的法定代表人，现授权委托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（姓名）       </w:t>
      </w:r>
      <w:r>
        <w:rPr>
          <w:rFonts w:hint="eastAsia" w:ascii="仿宋_GB2312" w:hAnsi="仿宋" w:eastAsia="仿宋_GB2312" w:cs="仿宋"/>
          <w:sz w:val="32"/>
          <w:szCs w:val="32"/>
        </w:rPr>
        <w:t>为我的代理人，以本公司/单位的名义参加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（采购人） </w:t>
      </w:r>
      <w:r>
        <w:rPr>
          <w:rFonts w:hint="eastAsia" w:ascii="仿宋_GB2312" w:hAnsi="仿宋" w:eastAsia="仿宋_GB2312" w:cs="仿宋"/>
          <w:sz w:val="32"/>
          <w:szCs w:val="32"/>
        </w:rPr>
        <w:t>的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（项目名称）      </w:t>
      </w:r>
      <w:r>
        <w:rPr>
          <w:rFonts w:hint="eastAsia" w:ascii="仿宋_GB2312" w:hAnsi="仿宋" w:eastAsia="仿宋_GB2312" w:cs="仿宋"/>
          <w:sz w:val="32"/>
          <w:szCs w:val="32"/>
        </w:rPr>
        <w:t>的投标。授权委托人在询价、合同谈判过程中所签署的一切文件和处理与之有关的一切事务，我均予以承认。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代理人无转委托权，特此委托。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供应商（盖章）：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法定代表人（盖章/签字）：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  <w:u w:val="single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代理人：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性别：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年龄：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身份证号码：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职务：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授权委托有效期：    年   月  日 至    年   月  日 </w:t>
      </w:r>
    </w:p>
    <w:tbl>
      <w:tblPr>
        <w:tblStyle w:val="13"/>
        <w:tblW w:w="0" w:type="auto"/>
        <w:tblInd w:w="3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2" w:hRule="atLeast"/>
        </w:trPr>
        <w:tc>
          <w:tcPr>
            <w:tcW w:w="8449" w:type="dxa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 w:eastAsia="仿宋_GB2312" w:cs="仿宋"/>
                <w:sz w:val="21"/>
                <w:szCs w:val="21"/>
              </w:rPr>
            </w:pPr>
            <w:r>
              <w:rPr>
                <w:rFonts w:hint="eastAsia" w:ascii="仿宋_GB2312" w:hAnsi="仿宋" w:eastAsia="仿宋_GB2312" w:cs="仿宋"/>
                <w:sz w:val="32"/>
                <w:szCs w:val="32"/>
              </w:rPr>
              <w:t>粘贴法定代表人和被授权人身份证（复印件）</w:t>
            </w:r>
          </w:p>
        </w:tc>
      </w:tr>
    </w:tbl>
    <w:p/>
    <w:p>
      <w:pPr>
        <w:pStyle w:val="2"/>
        <w:rPr>
          <w:rFonts w:hint="eastAsia"/>
          <w:lang w:val="en-US" w:eastAsia="zh-CN"/>
        </w:rPr>
        <w:sectPr>
          <w:pgSz w:w="11906" w:h="16838"/>
          <w:pgMar w:top="1701" w:right="1134" w:bottom="1134" w:left="1474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400" w:lineRule="exact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27" w:name="_Toc6225"/>
      <w:bookmarkStart w:id="28" w:name="_Toc4823"/>
      <w:r>
        <w:rPr>
          <w:rFonts w:hint="eastAsia" w:ascii="黑体" w:hAnsi="黑体" w:eastAsia="黑体" w:cs="黑体"/>
          <w:sz w:val="32"/>
          <w:szCs w:val="32"/>
        </w:rPr>
        <w:t>附件3</w:t>
      </w:r>
      <w:bookmarkEnd w:id="27"/>
      <w:bookmarkEnd w:id="28"/>
    </w:p>
    <w:p>
      <w:pPr>
        <w:adjustRightInd w:val="0"/>
        <w:snapToGrid w:val="0"/>
        <w:spacing w:line="400" w:lineRule="exact"/>
        <w:rPr>
          <w:rFonts w:ascii="仿宋_GB2312" w:hAnsi="仿宋" w:eastAsia="仿宋_GB2312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黄石市城发土地资产运营管理有限公司</w:t>
      </w:r>
      <w:r>
        <w:rPr>
          <w:rFonts w:hint="eastAsia" w:ascii="仿宋_GB2312" w:hAnsi="仿宋" w:eastAsia="仿宋_GB2312" w:cs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贵公司在该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询价公告</w:t>
      </w:r>
      <w:r>
        <w:rPr>
          <w:rFonts w:hint="eastAsia" w:ascii="仿宋_GB2312" w:hAnsi="仿宋" w:eastAsia="仿宋_GB2312" w:cs="仿宋"/>
          <w:sz w:val="32"/>
          <w:szCs w:val="32"/>
        </w:rPr>
        <w:t>所约定的“服务内容”及“工作要求”，本公司已知悉且完全可满足服务要求，并承诺在贵公司要求的时限内及时提供相关服务和取得相应成果，如有虚假承诺，本公司愿承担一切责任。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承诺人（盖章）：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 承诺时间：   年  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 日</w:t>
      </w:r>
    </w:p>
    <w:p>
      <w:pPr>
        <w:pStyle w:val="2"/>
      </w:pPr>
    </w:p>
    <w:p/>
    <w:p>
      <w:pPr>
        <w:pStyle w:val="9"/>
      </w:pPr>
    </w:p>
    <w:p/>
    <w:p>
      <w:pPr>
        <w:pStyle w:val="9"/>
      </w:pPr>
    </w:p>
    <w:p/>
    <w:p>
      <w:pPr>
        <w:pStyle w:val="9"/>
      </w:pPr>
    </w:p>
    <w:p/>
    <w:p>
      <w:pPr>
        <w:pStyle w:val="9"/>
      </w:pPr>
    </w:p>
    <w:p/>
    <w:p>
      <w:pPr>
        <w:pStyle w:val="9"/>
      </w:pPr>
    </w:p>
    <w:p/>
    <w:p>
      <w:pPr>
        <w:pStyle w:val="9"/>
      </w:pPr>
    </w:p>
    <w:p/>
    <w:p>
      <w:pPr>
        <w:pStyle w:val="9"/>
      </w:pPr>
    </w:p>
    <w:p/>
    <w:p>
      <w:pPr>
        <w:pStyle w:val="9"/>
      </w:pPr>
    </w:p>
    <w:p>
      <w:pPr>
        <w:pageBreakBefore w:val="0"/>
        <w:kinsoku/>
        <w:wordWrap/>
        <w:overflowPunct/>
        <w:topLinePunct w:val="0"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29" w:name="_Toc15296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评 标 办 法</w:t>
      </w:r>
      <w:bookmarkEnd w:id="29"/>
    </w:p>
    <w:p>
      <w:pPr>
        <w:spacing w:line="360" w:lineRule="auto"/>
        <w:outlineLvl w:val="0"/>
        <w:rPr>
          <w:rFonts w:hint="eastAsia" w:ascii="宋体" w:hAnsi="宋体" w:cs="宋体"/>
          <w:bCs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一、资格审查合格标准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eastAsia="zh-CN"/>
        </w:rPr>
        <w:t xml:space="preserve">本招标项目采用资格后审方式，资格审查将采取合格/不合格制。 </w:t>
      </w:r>
    </w:p>
    <w:p>
      <w:pPr>
        <w:spacing w:before="8"/>
        <w:rPr>
          <w:rFonts w:ascii="宋体" w:hAnsi="宋体" w:eastAsia="宋体" w:cs="宋体"/>
          <w:b/>
          <w:bCs/>
          <w:sz w:val="4"/>
          <w:szCs w:val="4"/>
          <w:lang w:eastAsia="zh-CN"/>
        </w:rPr>
      </w:pPr>
    </w:p>
    <w:tbl>
      <w:tblPr>
        <w:tblStyle w:val="17"/>
        <w:tblW w:w="8647" w:type="dxa"/>
        <w:tblInd w:w="28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5684"/>
        <w:gridCol w:w="21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line="253" w:lineRule="exact"/>
              <w:ind w:left="2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tabs>
                <w:tab w:val="left" w:pos="557"/>
                <w:tab w:val="left" w:pos="1109"/>
                <w:tab w:val="left" w:pos="1551"/>
              </w:tabs>
              <w:spacing w:before="178"/>
              <w:ind w:left="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ab/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格</w:t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ab/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条</w:t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ab/>
            </w:r>
            <w:r>
              <w:rPr>
                <w:rFonts w:ascii="宋体" w:hAnsi="宋体" w:eastAsia="宋体" w:cs="宋体"/>
                <w:b/>
                <w:bCs/>
                <w:sz w:val="21"/>
                <w:szCs w:val="21"/>
              </w:rPr>
              <w:t>件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line="253" w:lineRule="exact"/>
              <w:ind w:left="103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z w:val="21"/>
                <w:szCs w:val="21"/>
                <w:lang w:eastAsia="zh-CN"/>
              </w:rPr>
              <w:t>投标人具备的条件或说明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92"/>
              <w:ind w:left="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t>1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48" w:line="286" w:lineRule="exact"/>
              <w:ind w:left="103" w:right="110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投标人在中国境内注册并取得的具备独立法人资格的营业执照（三证合一），具有相应的经营范围，且在有效期内。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164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清晰扫描件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加盖公章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177"/>
              <w:ind w:left="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t>2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27" w:line="286" w:lineRule="exact"/>
              <w:ind w:left="103" w:right="110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投标人须具备乙级及以上测绘相关资质。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103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清晰扫描件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加盖公章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113"/>
              <w:ind w:left="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/>
                <w:sz w:val="21"/>
                <w:szCs w:val="21"/>
              </w:rPr>
              <w:t>3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185"/>
              <w:ind w:left="103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投标人业绩要求：投标人自 2021年1月 1 日以来（以合同签订日期为准）至少承接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zh-CN" w:eastAsia="zh-CN"/>
              </w:rPr>
              <w:t>过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1项测绘定界业绩（提供合同复印件或中标通知书加盖公章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）。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85"/>
              <w:ind w:left="103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清晰扫描件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加盖公章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114"/>
              <w:ind w:left="2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70" w:line="286" w:lineRule="exact"/>
              <w:ind w:left="103" w:right="110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根据《关于在招标投标活动中对失信被执行人实施联合惩戒的通知》([2016]285 号)规定，投标人须通过“信用中国”(网址 www.creditchina.gov.cn)对本企业进行信用查询，若在“失信被执行人”名单中的，其投标无效，查询结果以当天在“信用中国”网站查询结果为准。</w:t>
            </w:r>
          </w:p>
          <w:p>
            <w:pPr>
              <w:pStyle w:val="16"/>
              <w:spacing w:before="70" w:line="286" w:lineRule="exact"/>
              <w:ind w:left="103" w:right="110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186"/>
              <w:ind w:left="103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提供网络查询截图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115"/>
              <w:ind w:left="2"/>
              <w:jc w:val="center"/>
              <w:rPr>
                <w:rFonts w:ascii="宋体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70" w:line="286" w:lineRule="exact"/>
              <w:ind w:left="103" w:right="110"/>
              <w:jc w:val="left"/>
              <w:rPr>
                <w:rFonts w:hint="eastAsia" w:ascii="仿宋_GB2312" w:hAnsi="仿宋_GB2312" w:eastAsia="仿宋_GB2312" w:cs="仿宋_GB2312"/>
                <w:spacing w:val="-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2"/>
                <w:szCs w:val="22"/>
                <w:lang w:eastAsia="zh-CN"/>
              </w:rPr>
              <w:t>投标人须提供诚信投标等承诺书。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184"/>
              <w:ind w:left="103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提供原件扫描件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115"/>
              <w:ind w:left="2"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185"/>
              <w:ind w:left="103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实质性响应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73" w:line="284" w:lineRule="exact"/>
              <w:ind w:left="103" w:right="25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未提出招标人不能 接受的条件的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3" w:hRule="exac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before="17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5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spacing w:line="252" w:lineRule="exact"/>
              <w:ind w:left="103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投标报价：</w:t>
            </w:r>
          </w:p>
          <w:p>
            <w:pPr>
              <w:pStyle w:val="16"/>
              <w:spacing w:before="1" w:line="237" w:lineRule="auto"/>
              <w:ind w:right="221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(1)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投标函中的大写报价不大于本标段招标控制价总价；</w:t>
            </w:r>
          </w:p>
          <w:p>
            <w:pPr>
              <w:pStyle w:val="16"/>
              <w:spacing w:before="30" w:line="284" w:lineRule="exact"/>
              <w:ind w:right="221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2"/>
                <w:szCs w:val="22"/>
                <w:lang w:val="en-US" w:eastAsia="zh-CN"/>
              </w:rPr>
              <w:t>(2)</w:t>
            </w:r>
            <w:r>
              <w:rPr>
                <w:rFonts w:hint="eastAsia" w:ascii="仿宋_GB2312" w:hAnsi="仿宋_GB2312" w:eastAsia="仿宋_GB2312" w:cs="仿宋_GB2312"/>
                <w:spacing w:val="-2"/>
                <w:sz w:val="22"/>
                <w:szCs w:val="22"/>
                <w:lang w:eastAsia="zh-CN"/>
              </w:rPr>
              <w:t>算术错误修正后的投标总报价不大于本标段招标控制</w:t>
            </w:r>
            <w:r>
              <w:rPr>
                <w:rFonts w:hint="eastAsia" w:ascii="仿宋_GB2312" w:hAnsi="仿宋_GB2312" w:eastAsia="仿宋_GB2312" w:cs="仿宋_GB2312"/>
                <w:spacing w:val="-76"/>
                <w:sz w:val="22"/>
                <w:szCs w:val="22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价总价；</w:t>
            </w:r>
          </w:p>
          <w:p>
            <w:pPr>
              <w:pStyle w:val="16"/>
              <w:spacing w:line="260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(3)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投标报价不低于其成本。</w:t>
            </w:r>
          </w:p>
        </w:tc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6"/>
              <w:ind w:left="103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pStyle w:val="16"/>
              <w:ind w:left="103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符合要求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8" w:hRule="exac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before="176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7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spacing w:line="253" w:lineRule="exact"/>
              <w:ind w:left="103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投标人不得存在的其他情形：</w:t>
            </w:r>
          </w:p>
          <w:p>
            <w:pPr>
              <w:pStyle w:val="16"/>
              <w:numPr>
                <w:ilvl w:val="0"/>
                <w:numId w:val="0"/>
              </w:numPr>
              <w:spacing w:line="253" w:lineRule="exact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(1)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串通投标、弄虚作假、行贿或有其他违法行为的；</w:t>
            </w:r>
          </w:p>
          <w:p>
            <w:pPr>
              <w:pStyle w:val="16"/>
              <w:numPr>
                <w:ilvl w:val="0"/>
                <w:numId w:val="0"/>
              </w:numPr>
              <w:spacing w:line="253" w:lineRule="exact"/>
              <w:jc w:val="left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(2)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不按评标委员会要求澄清、说明或补正的。</w:t>
            </w:r>
          </w:p>
        </w:tc>
      </w:tr>
    </w:tbl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注：资格审查合格的投标人才进进入详细评审。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二、详细评审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（一）说明：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1.评标委员会只对有效投标人的有效投标文件进行评审。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2.本工程采用综合百分评估法评分，由投标报价、商务、技术组成。经评审后向招标人推荐三名中标候选人的一种评标办法。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3.按投标人投标文件送达的先后顺序开标。投标人的投标报价超过招标控制价的为废标。评标委员会将只对通过初步评审的投标文件进行评价和比较。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（二）评分办法：</w:t>
      </w:r>
    </w:p>
    <w:tbl>
      <w:tblPr>
        <w:tblStyle w:val="13"/>
        <w:tblW w:w="103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393"/>
        <w:gridCol w:w="939"/>
        <w:gridCol w:w="6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评审项目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评审分项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分值（分）</w:t>
            </w:r>
          </w:p>
        </w:tc>
        <w:tc>
          <w:tcPr>
            <w:tcW w:w="70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评分细标准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价格部分(20分)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报价得分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20分</w:t>
            </w:r>
          </w:p>
        </w:tc>
        <w:tc>
          <w:tcPr>
            <w:tcW w:w="700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基准价的确定办法为：若有效磋商大于五家，基准价为各有效磋商的磋商报价中，去掉一个最高报价和一个最低报价后的算术平均值。若有效磋商少于五家（含五家），则以所有有效磋商的磋商报价的算术平均值为基准价。报价得分为：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（1）磋商报价低于基准价的,每低于1%扣0.2分；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该项记分公式为：K=20-｛(Q-q)/Q｝×100×0.2(0≤K≤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0)；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（2）磋商报价高于基准价的,每高于1%扣0.5分；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该项记分公式为：K=20+｛(Q-q)/Q｝×100×0.5（0≤K≤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0)；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以上公式中：q——评审价，Q——基准价（按四舍五入原则精确到小数点后两位）；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商务部分（30分</w:t>
            </w: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  <w:t>）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企业业绩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10</w:t>
            </w:r>
          </w:p>
        </w:tc>
        <w:tc>
          <w:tcPr>
            <w:tcW w:w="70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  <w:lang w:eastAsia="zh-CN"/>
              </w:rPr>
              <w:t>投标人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近三年（自磋商响应文件递交截止时间前36个月，以合同签订时间为准）每承接过一项</w:t>
            </w:r>
            <w:r>
              <w:rPr>
                <w:rFonts w:hint="eastAsia" w:ascii="宋体" w:hAnsi="宋体" w:cs="宋体"/>
                <w:color w:val="auto"/>
                <w:spacing w:val="-8"/>
                <w:szCs w:val="21"/>
                <w:highlight w:val="none"/>
                <w:lang w:val="en-US" w:eastAsia="zh-CN"/>
              </w:rPr>
              <w:t>测绘定界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项目得2分，最高得1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分。须提供相关合同(含合同首页、标的页、签字页等关键内容)复印件加盖公章。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项目负责人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10</w:t>
            </w:r>
          </w:p>
        </w:tc>
        <w:tc>
          <w:tcPr>
            <w:tcW w:w="70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本项目项目负责人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ind w:left="0" w:leftChars="0" w:firstLine="224" w:firstLineChars="0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pacing w:val="-8"/>
                <w:szCs w:val="21"/>
                <w:highlight w:val="none"/>
                <w:lang w:val="en-US" w:eastAsia="zh-CN"/>
              </w:rPr>
              <w:t>具备三年以上</w:t>
            </w:r>
            <w:r>
              <w:rPr>
                <w:rFonts w:ascii="PingFangSC-Regular" w:hAnsi="PingFangSC-Regular" w:eastAsia="PingFangSC-Regular" w:cs="PingFangSC-Regular"/>
                <w:i w:val="0"/>
                <w:iCs w:val="0"/>
                <w:caps w:val="0"/>
                <w:color w:val="1E1F24"/>
                <w:spacing w:val="3"/>
                <w:sz w:val="25"/>
                <w:szCs w:val="25"/>
                <w:shd w:val="clear" w:fill="FFFFFF"/>
              </w:rPr>
              <w:t>执业经历并能够专职执业的</w:t>
            </w:r>
            <w:r>
              <w:rPr>
                <w:rFonts w:hint="eastAsia" w:ascii="PingFangSC-Regular" w:hAnsi="PingFangSC-Regular" w:cs="PingFangSC-Regular"/>
                <w:i w:val="0"/>
                <w:iCs w:val="0"/>
                <w:caps w:val="0"/>
                <w:color w:val="1E1F24"/>
                <w:spacing w:val="3"/>
                <w:sz w:val="25"/>
                <w:szCs w:val="25"/>
                <w:shd w:val="clear" w:fill="FFFFFF"/>
                <w:lang w:val="en-US" w:eastAsia="zh-CN"/>
              </w:rPr>
              <w:t>测绘工程师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。</w:t>
            </w:r>
          </w:p>
          <w:p>
            <w:pPr>
              <w:pStyle w:val="2"/>
              <w:numPr>
                <w:ilvl w:val="0"/>
                <w:numId w:val="3"/>
              </w:numPr>
              <w:ind w:left="0" w:leftChars="0" w:firstLine="224" w:firstLineChars="0"/>
              <w:rPr>
                <w:rFonts w:hint="eastAsia" w:ascii="宋体" w:hAnsi="宋体" w:eastAsia="宋体" w:cs="宋体"/>
                <w:color w:val="auto"/>
                <w:spacing w:val="-8"/>
                <w:sz w:val="24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4"/>
                <w:szCs w:val="21"/>
                <w:highlight w:val="none"/>
                <w:lang w:val="en-US" w:eastAsia="zh-CN" w:bidi="ar-SA"/>
              </w:rPr>
              <w:t>具有中级及以上职称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需提供相关人员有效的证明材料复印件。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成员结构与配置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10</w:t>
            </w:r>
          </w:p>
        </w:tc>
        <w:tc>
          <w:tcPr>
            <w:tcW w:w="7000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本项目除项目负责人以外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（1）拟派项目组成员每增加一名持有相关</w:t>
            </w:r>
            <w:r>
              <w:rPr>
                <w:rFonts w:ascii="PingFangSC-Regular" w:hAnsi="PingFangSC-Regular" w:eastAsia="PingFangSC-Regular" w:cs="PingFangSC-Regular"/>
                <w:i w:val="0"/>
                <w:iCs w:val="0"/>
                <w:caps w:val="0"/>
                <w:color w:val="1E1F24"/>
                <w:spacing w:val="3"/>
                <w:sz w:val="25"/>
                <w:szCs w:val="25"/>
                <w:shd w:val="clear" w:fill="FFFFFF"/>
              </w:rPr>
              <w:t>执业</w:t>
            </w:r>
            <w:r>
              <w:rPr>
                <w:rFonts w:hint="eastAsia" w:ascii="PingFangSC-Regular" w:hAnsi="PingFangSC-Regular" w:eastAsia="宋体" w:cs="PingFangSC-Regular"/>
                <w:i w:val="0"/>
                <w:iCs w:val="0"/>
                <w:caps w:val="0"/>
                <w:color w:val="1E1F24"/>
                <w:spacing w:val="3"/>
                <w:sz w:val="25"/>
                <w:szCs w:val="25"/>
                <w:shd w:val="clear" w:fill="FFFFFF"/>
                <w:lang w:val="en-US" w:eastAsia="zh-CN"/>
              </w:rPr>
              <w:t>资格</w:t>
            </w:r>
            <w:r>
              <w:rPr>
                <w:rFonts w:ascii="PingFangSC-Regular" w:hAnsi="PingFangSC-Regular" w:eastAsia="PingFangSC-Regular" w:cs="PingFangSC-Regular"/>
                <w:i w:val="0"/>
                <w:iCs w:val="0"/>
                <w:caps w:val="0"/>
                <w:color w:val="1E1F24"/>
                <w:spacing w:val="3"/>
                <w:sz w:val="25"/>
                <w:szCs w:val="25"/>
                <w:shd w:val="clear" w:fill="FFFFFF"/>
              </w:rPr>
              <w:t>的</w:t>
            </w:r>
            <w:r>
              <w:rPr>
                <w:rFonts w:hint="eastAsia" w:ascii="PingFangSC-Regular" w:hAnsi="PingFangSC-Regular" w:cs="PingFangSC-Regular"/>
                <w:i w:val="0"/>
                <w:iCs w:val="0"/>
                <w:caps w:val="0"/>
                <w:color w:val="1E1F24"/>
                <w:spacing w:val="3"/>
                <w:sz w:val="25"/>
                <w:szCs w:val="25"/>
                <w:shd w:val="clear" w:fill="FFFFFF"/>
                <w:lang w:val="en-US" w:eastAsia="zh-CN"/>
              </w:rPr>
              <w:t>测绘工程师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的得2分，此项最多得6分；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（2）拟派项目组成员每增加一名持有相关专业</w:t>
            </w:r>
            <w:r>
              <w:rPr>
                <w:rFonts w:hint="eastAsia" w:ascii="宋体" w:hAnsi="宋体" w:cs="宋体"/>
                <w:color w:val="auto"/>
                <w:spacing w:val="-8"/>
                <w:szCs w:val="21"/>
                <w:highlight w:val="none"/>
                <w:lang w:val="en-US" w:eastAsia="zh-CN"/>
              </w:rPr>
              <w:t>初级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职业资格证书得2分，此项最多得4分；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（3）拟派驻人员同时满足上述两个条件时可以累计得分。</w:t>
            </w:r>
          </w:p>
          <w:p>
            <w:pPr>
              <w:adjustRightInd w:val="0"/>
              <w:snapToGrid w:val="0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需提供相关人员有效的证明材料复印件。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技术部分(50分)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对本项目的理解和技术建议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20</w:t>
            </w:r>
          </w:p>
        </w:tc>
        <w:tc>
          <w:tcPr>
            <w:tcW w:w="700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  <w:lang w:eastAsia="zh-CN"/>
              </w:rPr>
              <w:t>投标人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对项目的理解程度，特别是对项目的特点、难点分析是否准确，对重点难点问题拟采取的措施的有效性和针对性。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对本项目认知理解十分精准，合理得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-1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分；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对本项目认知理解较为准确，得1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-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分；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对本项目认知理解贴合本项目要求，基本符合实际得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-1分；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对本项目认知理解有误，不能满足项目要求得0分。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评估工作的内容与深度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15</w:t>
            </w:r>
          </w:p>
        </w:tc>
        <w:tc>
          <w:tcPr>
            <w:tcW w:w="700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评估工作的内容、深度的合理性，是否满足采购人要求。</w:t>
            </w:r>
          </w:p>
          <w:p>
            <w:pPr>
              <w:tabs>
                <w:tab w:val="left" w:pos="4944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工作方案完整、清晰、可行得15-11分；</w:t>
            </w:r>
          </w:p>
          <w:p>
            <w:pPr>
              <w:tabs>
                <w:tab w:val="left" w:pos="4944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工作方案较合理、较可行得10-6分；</w:t>
            </w:r>
          </w:p>
          <w:p>
            <w:pPr>
              <w:tabs>
                <w:tab w:val="left" w:pos="4944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工作方案不清晰、不明确得5-1分；</w:t>
            </w:r>
          </w:p>
          <w:p>
            <w:pPr>
              <w:tabs>
                <w:tab w:val="left" w:pos="4944"/>
              </w:tabs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工作方案不合理，不可行得0分。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设备配备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5</w:t>
            </w:r>
          </w:p>
        </w:tc>
        <w:tc>
          <w:tcPr>
            <w:tcW w:w="700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拟投入本项目装备配置、工具与计算机软、硬件配备及其应用情况满足需求。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以上内容完全达到上述要求得5-4分；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以上内容基本满足要求得3-1分；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以上内容不合理，不可行得0分。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进度计划和保证措施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5</w:t>
            </w:r>
          </w:p>
        </w:tc>
        <w:tc>
          <w:tcPr>
            <w:tcW w:w="700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评估工作进度计划和保证措施的合理性。进度计划在合同签订后</w:t>
            </w:r>
            <w:r>
              <w:rPr>
                <w:rFonts w:hint="eastAsia" w:ascii="宋体" w:hAnsi="宋体" w:cs="宋体"/>
                <w:color w:val="auto"/>
                <w:spacing w:val="-8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日内提交成果报告。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措施完整、合理、可行得5-4分；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措施较合理、较可行得3-1分；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措施不合理，不可行得0分。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质量保证体系与措施</w:t>
            </w:r>
          </w:p>
        </w:tc>
        <w:tc>
          <w:tcPr>
            <w:tcW w:w="84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5</w:t>
            </w:r>
          </w:p>
        </w:tc>
        <w:tc>
          <w:tcPr>
            <w:tcW w:w="7000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评估工作质量保证体系与措施的有效性。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措施完整、合理、可行得5-4分；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措施较合理、较可行得3-1分；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Cs w:val="21"/>
                <w:highlight w:val="none"/>
              </w:rPr>
              <w:t>措施不合理，不可行得0分。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  <w:jc w:val="center"/>
        </w:trPr>
        <w:tc>
          <w:tcPr>
            <w:tcW w:w="11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925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100分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（三）计分办法：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1.评标委员会成员按照招标文件的要求给投标人打分，并按下列公式确定各投标人的评定分数:评定分数=商务标得分+技术标得分+价格部分得分。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2.各投标人的最终得分为各评委所评定分数的算术平均值。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3.各项统计、评分结果均按四舍五入方法精确到小数点后二位。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评标完成后，评标委员会应当根据综合评分情况，按照评审得分由高到低顺序推荐3名中标候选人，并编写评标报告。评审得分相同的，按照最后报价由低到高的顺序推荐。评审得分且最后报价相同的，按照技术指标优劣顺序推荐。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（四）、技术标部分格式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</w:rPr>
        <w:t>技术文件至少包括（但不限于）如下内容：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1、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工作方案描述</w:t>
      </w:r>
      <w:r>
        <w:rPr>
          <w:rFonts w:hint="eastAsia" w:ascii="仿宋_GB2312" w:hAnsi="黑体" w:eastAsia="仿宋_GB2312" w:cs="黑体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2、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主要设计和技术要求；本招标项目特点、难点、重点等的技术分析和处理措施等</w:t>
      </w:r>
      <w:r>
        <w:rPr>
          <w:rFonts w:hint="eastAsia" w:ascii="仿宋_GB2312" w:hAnsi="黑体" w:eastAsia="仿宋_GB2312" w:cs="黑体"/>
          <w:color w:val="00000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3、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项目的组织机构；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4、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工作质量保证体系及措施和技术手段，以及建设项目开始实施后，</w:t>
      </w: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实施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方对后续服务的承诺及其他承诺；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黑体" w:eastAsia="仿宋_GB2312" w:cs="黑体"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5、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项目进度计划，对本项目总体进度计划、对关键点进度控制的可行性和保证措施；</w:t>
      </w:r>
    </w:p>
    <w:p>
      <w:pPr>
        <w:ind w:firstLine="640" w:firstLineChars="200"/>
      </w:pPr>
      <w:r>
        <w:rPr>
          <w:rFonts w:hint="eastAsia" w:ascii="仿宋_GB2312" w:hAnsi="黑体" w:eastAsia="仿宋_GB2312" w:cs="黑体"/>
          <w:color w:val="000000"/>
          <w:sz w:val="32"/>
          <w:szCs w:val="32"/>
          <w:lang w:val="en-US" w:eastAsia="zh-CN"/>
        </w:rPr>
        <w:t>6、</w:t>
      </w:r>
      <w:r>
        <w:rPr>
          <w:rFonts w:hint="eastAsia" w:ascii="仿宋_GB2312" w:hAnsi="黑体" w:eastAsia="仿宋_GB2312" w:cs="黑体"/>
          <w:color w:val="000000"/>
          <w:sz w:val="32"/>
          <w:szCs w:val="32"/>
        </w:rPr>
        <w:t>投标人对项目设计的其他优势，以及对本项目设计的合理化建议。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79FD58-C5EF-47E3-9513-0DB1246133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C91C6094-F764-437C-8489-5E742B675CC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B5CE1E3-B42A-4856-859F-5BB4046A15F7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FF7EF479-F9AE-4204-A6AD-0B3E12E3873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AEAE2785-808B-4D7A-A9CB-DF10D446707B}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6" w:fontKey="{7055F91D-472C-4481-9511-9ADDC0AFFDAA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8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A606EE"/>
    <w:multiLevelType w:val="singleLevel"/>
    <w:tmpl w:val="14A606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FCCC96F"/>
    <w:multiLevelType w:val="singleLevel"/>
    <w:tmpl w:val="1FCCC96F"/>
    <w:lvl w:ilvl="0" w:tentative="0">
      <w:start w:val="1"/>
      <w:numFmt w:val="decimal"/>
      <w:suff w:val="nothing"/>
      <w:lvlText w:val="（%1）"/>
      <w:lvlJc w:val="left"/>
      <w:pPr>
        <w:ind w:left="0" w:firstLine="224"/>
      </w:pPr>
    </w:lvl>
  </w:abstractNum>
  <w:abstractNum w:abstractNumId="2">
    <w:nsid w:val="511EAC0B"/>
    <w:multiLevelType w:val="singleLevel"/>
    <w:tmpl w:val="511EAC0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YTgxNWFkZGI4YzJhYzgwY2IyMDgwMTdjY2RiNTQifQ=="/>
  </w:docVars>
  <w:rsids>
    <w:rsidRoot w:val="03C54BEC"/>
    <w:rsid w:val="0227319D"/>
    <w:rsid w:val="0278711C"/>
    <w:rsid w:val="03C54BEC"/>
    <w:rsid w:val="06882D22"/>
    <w:rsid w:val="07CA70AF"/>
    <w:rsid w:val="0AA0137B"/>
    <w:rsid w:val="0BFD1223"/>
    <w:rsid w:val="0C0011B9"/>
    <w:rsid w:val="13E31AAE"/>
    <w:rsid w:val="14EB629A"/>
    <w:rsid w:val="150F1F18"/>
    <w:rsid w:val="1B100C9A"/>
    <w:rsid w:val="1BDE0896"/>
    <w:rsid w:val="230E0A17"/>
    <w:rsid w:val="23640A87"/>
    <w:rsid w:val="28660E58"/>
    <w:rsid w:val="2A107B18"/>
    <w:rsid w:val="317963F2"/>
    <w:rsid w:val="35F745D6"/>
    <w:rsid w:val="379D0FA7"/>
    <w:rsid w:val="3A992100"/>
    <w:rsid w:val="42F500EF"/>
    <w:rsid w:val="4D97348C"/>
    <w:rsid w:val="53111A7D"/>
    <w:rsid w:val="546E6E1F"/>
    <w:rsid w:val="591946E0"/>
    <w:rsid w:val="5B3F1D42"/>
    <w:rsid w:val="5F7B7B43"/>
    <w:rsid w:val="6022565B"/>
    <w:rsid w:val="60FF36BE"/>
    <w:rsid w:val="641D6272"/>
    <w:rsid w:val="64234E01"/>
    <w:rsid w:val="6544202B"/>
    <w:rsid w:val="6E7D7067"/>
    <w:rsid w:val="705B180C"/>
    <w:rsid w:val="70FD48EC"/>
    <w:rsid w:val="71003969"/>
    <w:rsid w:val="75834F63"/>
    <w:rsid w:val="76B31878"/>
    <w:rsid w:val="7A951295"/>
    <w:rsid w:val="7B0109A2"/>
    <w:rsid w:val="7D1D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sz w:val="24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6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line="360" w:lineRule="auto"/>
      <w:outlineLvl w:val="1"/>
    </w:pPr>
    <w:rPr>
      <w:rFonts w:ascii="Times New Roman" w:hAnsi="Times New Roman" w:eastAsia="黑体" w:cs="Times New Roman"/>
      <w:b/>
      <w:kern w:val="2"/>
      <w:sz w:val="28"/>
      <w:szCs w:val="24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字"/>
    <w:basedOn w:val="3"/>
    <w:next w:val="1"/>
    <w:qFormat/>
    <w:uiPriority w:val="99"/>
    <w:pPr>
      <w:ind w:firstLine="200"/>
    </w:pPr>
    <w:rPr>
      <w:rFonts w:ascii="仿宋_GB2312" w:eastAsia="仿宋_GB2312"/>
      <w:sz w:val="32"/>
      <w:szCs w:val="32"/>
    </w:rPr>
  </w:style>
  <w:style w:type="paragraph" w:styleId="3">
    <w:name w:val="Body Text First Indent"/>
    <w:basedOn w:val="4"/>
    <w:qFormat/>
    <w:uiPriority w:val="0"/>
    <w:pPr>
      <w:ind w:firstLine="420" w:firstLineChars="100"/>
    </w:pPr>
  </w:style>
  <w:style w:type="paragraph" w:styleId="4">
    <w:name w:val="Body Text"/>
    <w:basedOn w:val="1"/>
    <w:next w:val="3"/>
    <w:qFormat/>
    <w:uiPriority w:val="0"/>
    <w:pPr>
      <w:spacing w:after="120"/>
    </w:pPr>
  </w:style>
  <w:style w:type="paragraph" w:styleId="7">
    <w:name w:val="Body Text Indent"/>
    <w:basedOn w:val="1"/>
    <w:qFormat/>
    <w:uiPriority w:val="0"/>
    <w:pPr>
      <w:spacing w:line="440" w:lineRule="exact"/>
      <w:ind w:firstLine="200"/>
    </w:pPr>
    <w:rPr>
      <w:rFonts w:eastAsia="楷体_GB2312"/>
      <w:kern w:val="2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9">
    <w:name w:val="toc 1"/>
    <w:basedOn w:val="1"/>
    <w:next w:val="1"/>
    <w:qFormat/>
    <w:uiPriority w:val="39"/>
    <w:pPr>
      <w:tabs>
        <w:tab w:val="right" w:leader="dot" w:pos="8302"/>
      </w:tabs>
      <w:spacing w:line="440" w:lineRule="exact"/>
      <w:jc w:val="left"/>
    </w:pPr>
    <w:rPr>
      <w:color w:val="000000"/>
      <w:szCs w:val="21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11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12">
    <w:name w:val="Body Text First Indent 2"/>
    <w:basedOn w:val="7"/>
    <w:qFormat/>
    <w:uiPriority w:val="0"/>
    <w:pPr>
      <w:spacing w:after="120" w:line="240" w:lineRule="auto"/>
      <w:ind w:left="420" w:leftChars="200" w:firstLine="420" w:firstLineChars="200"/>
    </w:pPr>
    <w:rPr>
      <w:rFonts w:eastAsia="宋体"/>
      <w:kern w:val="0"/>
    </w:rPr>
  </w:style>
  <w:style w:type="character" w:customStyle="1" w:styleId="15">
    <w:name w:val="NormalCharacter"/>
    <w:qFormat/>
    <w:uiPriority w:val="0"/>
  </w:style>
  <w:style w:type="paragraph" w:customStyle="1" w:styleId="16">
    <w:name w:val="Table Paragraph"/>
    <w:basedOn w:val="1"/>
    <w:autoRedefine/>
    <w:qFormat/>
    <w:uiPriority w:val="1"/>
    <w:pPr>
      <w:jc w:val="left"/>
    </w:pPr>
    <w:rPr>
      <w:rFonts w:ascii="Calibri" w:hAnsi="Calibri"/>
      <w:kern w:val="0"/>
      <w:sz w:val="22"/>
      <w:szCs w:val="22"/>
      <w:lang w:eastAsia="en-US"/>
    </w:rPr>
  </w:style>
  <w:style w:type="table" w:customStyle="1" w:styleId="17">
    <w:name w:val="Table Normal"/>
    <w:autoRedefine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2023-02-02T02:31:00Z</dcterms:created>
  <dc:creator>admin</dc:creator>
  <cp:lastModifiedBy></cp:lastModifiedBy>
  <cp:lastPrinted>2023-09-11T00:56:00Z</cp:lastPrinted>
  <dcterms:modified xsi:type="dcterms:W3CDTF">2024-03-05T00:44:45Z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149BB51D320344BD9B535BD826F61321_13</vt:lpwstr>
  </property>
</Properties>
</file>