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ind w:right="335" w:firstLine="960"/>
        <w:jc w:val="right"/>
        <w:rPr>
          <w:rFonts w:ascii="仿宋" w:hAnsi="仿宋" w:eastAsia="仿宋" w:cs="仿宋"/>
          <w:b/>
          <w:bCs/>
          <w:color w:val="auto"/>
          <w:sz w:val="28"/>
          <w:szCs w:val="28"/>
        </w:rPr>
      </w:pPr>
      <w:bookmarkStart w:id="0" w:name="_Hlk124512761"/>
      <w:r>
        <w:rPr>
          <w:rFonts w:hint="eastAsia" w:ascii="仿宋" w:hAnsi="仿宋" w:eastAsia="仿宋" w:cs="仿宋"/>
          <w:color w:val="auto"/>
        </w:rPr>
        <w:drawing>
          <wp:anchor distT="0" distB="0" distL="114300" distR="114300" simplePos="0" relativeHeight="251659264" behindDoc="0" locked="0" layoutInCell="1" allowOverlap="1">
            <wp:simplePos x="0" y="0"/>
            <wp:positionH relativeFrom="column">
              <wp:posOffset>-835660</wp:posOffset>
            </wp:positionH>
            <wp:positionV relativeFrom="line">
              <wp:posOffset>-404495</wp:posOffset>
            </wp:positionV>
            <wp:extent cx="1472565" cy="1372235"/>
            <wp:effectExtent l="0" t="0" r="13335" b="1841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472565" cy="1372235"/>
                    </a:xfrm>
                    <a:prstGeom prst="rect">
                      <a:avLst/>
                    </a:prstGeom>
                    <a:noFill/>
                    <a:ln>
                      <a:noFill/>
                    </a:ln>
                  </pic:spPr>
                </pic:pic>
              </a:graphicData>
            </a:graphic>
          </wp:anchor>
        </w:drawing>
      </w:r>
      <w:bookmarkStart w:id="1" w:name="_Hlk124514288"/>
    </w:p>
    <w:bookmarkEnd w:id="1"/>
    <w:p>
      <w:pPr>
        <w:pStyle w:val="11"/>
        <w:adjustRightInd w:val="0"/>
        <w:snapToGrid w:val="0"/>
        <w:spacing w:after="0" w:line="440" w:lineRule="exact"/>
        <w:ind w:left="0" w:leftChars="0" w:firstLine="0" w:firstLineChars="0"/>
        <w:jc w:val="center"/>
        <w:rPr>
          <w:rFonts w:ascii="仿宋" w:hAnsi="仿宋" w:eastAsia="仿宋" w:cs="仿宋"/>
          <w:color w:val="auto"/>
          <w:sz w:val="32"/>
          <w:szCs w:val="32"/>
        </w:rPr>
      </w:pPr>
    </w:p>
    <w:p>
      <w:pPr>
        <w:adjustRightInd w:val="0"/>
        <w:snapToGrid w:val="0"/>
        <w:spacing w:line="440" w:lineRule="exact"/>
        <w:jc w:val="center"/>
        <w:rPr>
          <w:rFonts w:ascii="仿宋" w:hAnsi="仿宋" w:eastAsia="仿宋" w:cs="仿宋"/>
          <w:b/>
          <w:bCs/>
          <w:color w:val="auto"/>
          <w:sz w:val="28"/>
          <w:szCs w:val="28"/>
        </w:rPr>
      </w:pPr>
    </w:p>
    <w:bookmarkEnd w:id="0"/>
    <w:p>
      <w:pPr>
        <w:pStyle w:val="10"/>
        <w:spacing w:line="276" w:lineRule="auto"/>
        <w:jc w:val="center"/>
        <w:outlineLvl w:val="9"/>
        <w:rPr>
          <w:rFonts w:hint="default" w:ascii="仿宋" w:hAnsi="仿宋" w:eastAsia="仿宋" w:cs="仿宋"/>
          <w:color w:val="auto"/>
          <w:sz w:val="36"/>
          <w:szCs w:val="28"/>
          <w:lang w:val="en-US"/>
        </w:rPr>
      </w:pPr>
      <w:r>
        <w:rPr>
          <w:rFonts w:hint="eastAsia" w:ascii="宋体" w:hAnsi="宋体" w:cs="宋体"/>
          <w:color w:val="auto"/>
          <w:sz w:val="36"/>
          <w:szCs w:val="28"/>
        </w:rPr>
        <w:t>阳新县马岭塘矿和石龙山矿股权调整可行性研究服务的</w:t>
      </w:r>
      <w:r>
        <w:rPr>
          <w:rFonts w:hint="eastAsia" w:ascii="宋体" w:hAnsi="宋体" w:cs="宋体"/>
          <w:color w:val="auto"/>
          <w:sz w:val="36"/>
          <w:szCs w:val="28"/>
          <w:lang w:val="en-US" w:eastAsia="zh-CN"/>
        </w:rPr>
        <w:t>公开遴选公告</w:t>
      </w:r>
    </w:p>
    <w:p>
      <w:pPr>
        <w:pStyle w:val="10"/>
        <w:spacing w:line="276" w:lineRule="auto"/>
        <w:ind w:firstLine="561"/>
        <w:jc w:val="left"/>
        <w:outlineLvl w:val="9"/>
        <w:rPr>
          <w:rFonts w:ascii="仿宋" w:hAnsi="仿宋" w:eastAsia="仿宋" w:cs="仿宋"/>
          <w:color w:val="auto"/>
        </w:rPr>
      </w:pPr>
      <w:r>
        <w:rPr>
          <w:rFonts w:hint="eastAsia" w:ascii="仿宋" w:hAnsi="仿宋" w:eastAsia="仿宋" w:cs="仿宋"/>
          <w:b w:val="0"/>
          <w:bCs w:val="0"/>
          <w:color w:val="auto"/>
        </w:rPr>
        <w:t>依据黄石市城发矿业有限公司计划，拟就阳新县马岭塘矿和石龙山矿股权调整可行性研究服务以公开遴选的方式进行采购，欢迎符合资格条件的招标投标人参与本项目的招标。具体事项如下：</w:t>
      </w:r>
    </w:p>
    <w:p>
      <w:pPr>
        <w:numPr>
          <w:ilvl w:val="0"/>
          <w:numId w:val="1"/>
        </w:numPr>
        <w:spacing w:line="520" w:lineRule="exact"/>
        <w:ind w:firstLine="643" w:firstLineChars="200"/>
        <w:jc w:val="left"/>
        <w:outlineLvl w:val="1"/>
        <w:rPr>
          <w:rFonts w:ascii="仿宋" w:hAnsi="仿宋" w:eastAsia="仿宋" w:cs="仿宋"/>
          <w:b/>
          <w:bCs/>
          <w:color w:val="auto"/>
          <w:sz w:val="32"/>
          <w:szCs w:val="32"/>
        </w:rPr>
      </w:pPr>
      <w:bookmarkStart w:id="2" w:name="_Toc21610"/>
      <w:bookmarkStart w:id="3" w:name="_Toc22193"/>
      <w:r>
        <w:rPr>
          <w:rFonts w:hint="eastAsia" w:ascii="仿宋" w:hAnsi="仿宋" w:eastAsia="仿宋" w:cs="仿宋"/>
          <w:b/>
          <w:bCs/>
          <w:color w:val="auto"/>
          <w:sz w:val="32"/>
          <w:szCs w:val="32"/>
        </w:rPr>
        <w:t>项目概况</w:t>
      </w:r>
      <w:bookmarkEnd w:id="2"/>
      <w:bookmarkEnd w:id="3"/>
    </w:p>
    <w:p>
      <w:pPr>
        <w:adjustRightInd w:val="0"/>
        <w:snapToGrid w:val="0"/>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（一）项目编号：CFKY202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-01</w:t>
      </w:r>
      <w:bookmarkStart w:id="31" w:name="_GoBack"/>
      <w:bookmarkEnd w:id="31"/>
    </w:p>
    <w:p>
      <w:pPr>
        <w:adjustRightInd w:val="0"/>
        <w:snapToGrid w:val="0"/>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（二）项目名称：阳新县马岭塘矿和石龙山矿股权调整可行性研究服务</w:t>
      </w:r>
    </w:p>
    <w:p>
      <w:pPr>
        <w:adjustRightInd w:val="0"/>
        <w:snapToGrid w:val="0"/>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（三）评估周期：中标单位自中标之日起30日内提供书面的可行性研究报告。</w:t>
      </w:r>
    </w:p>
    <w:p>
      <w:pPr>
        <w:adjustRightInd w:val="0"/>
        <w:snapToGrid w:val="0"/>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（四）最高预算：12万元整（整个项目打包的包干费用），超过最高价为无效报价。</w:t>
      </w:r>
    </w:p>
    <w:p>
      <w:pPr>
        <w:adjustRightInd w:val="0"/>
        <w:snapToGrid w:val="0"/>
        <w:spacing w:line="520" w:lineRule="exact"/>
        <w:ind w:firstLine="643" w:firstLineChars="200"/>
        <w:outlineLvl w:val="1"/>
        <w:rPr>
          <w:rFonts w:ascii="仿宋" w:hAnsi="仿宋" w:eastAsia="仿宋" w:cs="仿宋"/>
          <w:b/>
          <w:bCs/>
          <w:color w:val="auto"/>
          <w:sz w:val="32"/>
          <w:szCs w:val="32"/>
        </w:rPr>
      </w:pPr>
      <w:bookmarkStart w:id="4" w:name="_Toc27526"/>
      <w:bookmarkStart w:id="5" w:name="_Toc16516"/>
      <w:r>
        <w:rPr>
          <w:rFonts w:hint="eastAsia" w:ascii="仿宋" w:hAnsi="仿宋" w:eastAsia="仿宋" w:cs="仿宋"/>
          <w:b/>
          <w:bCs/>
          <w:color w:val="auto"/>
          <w:sz w:val="32"/>
          <w:szCs w:val="32"/>
        </w:rPr>
        <w:t>二、采购需求</w:t>
      </w:r>
      <w:bookmarkEnd w:id="4"/>
      <w:bookmarkEnd w:id="5"/>
    </w:p>
    <w:p>
      <w:pPr>
        <w:adjustRightInd w:val="0"/>
        <w:snapToGrid w:val="0"/>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依据相关法律法规和行政监管文件要求，</w:t>
      </w:r>
      <w:r>
        <w:rPr>
          <w:rFonts w:hint="eastAsia" w:ascii="仿宋" w:hAnsi="仿宋" w:eastAsia="仿宋" w:cs="仿宋"/>
          <w:color w:val="auto"/>
          <w:sz w:val="32"/>
          <w:szCs w:val="32"/>
          <w:lang w:val="en-US" w:eastAsia="zh-CN"/>
        </w:rPr>
        <w:t>拟公开遴选</w:t>
      </w:r>
      <w:r>
        <w:rPr>
          <w:rFonts w:hint="eastAsia" w:ascii="仿宋" w:hAnsi="仿宋" w:eastAsia="仿宋" w:cs="仿宋"/>
          <w:color w:val="auto"/>
          <w:sz w:val="32"/>
          <w:szCs w:val="32"/>
          <w:lang w:val="zh-CN"/>
        </w:rPr>
        <w:t>具备</w:t>
      </w:r>
      <w:r>
        <w:rPr>
          <w:rFonts w:hint="eastAsia" w:ascii="仿宋" w:hAnsi="仿宋" w:eastAsia="仿宋" w:cs="仿宋"/>
          <w:color w:val="auto"/>
          <w:sz w:val="32"/>
          <w:szCs w:val="32"/>
        </w:rPr>
        <w:t>矿业权评估资质</w:t>
      </w:r>
      <w:r>
        <w:rPr>
          <w:rFonts w:hint="eastAsia" w:ascii="仿宋" w:hAnsi="仿宋" w:eastAsia="仿宋" w:cs="仿宋"/>
          <w:color w:val="auto"/>
          <w:sz w:val="32"/>
          <w:szCs w:val="32"/>
          <w:lang w:val="en-US" w:eastAsia="zh-CN"/>
        </w:rPr>
        <w:t>或资产</w:t>
      </w:r>
      <w:r>
        <w:rPr>
          <w:rFonts w:hint="eastAsia" w:ascii="仿宋" w:hAnsi="仿宋" w:eastAsia="仿宋" w:cs="仿宋"/>
          <w:color w:val="auto"/>
          <w:sz w:val="32"/>
          <w:szCs w:val="32"/>
        </w:rPr>
        <w:t>评估资质</w:t>
      </w:r>
      <w:r>
        <w:rPr>
          <w:rFonts w:hint="eastAsia" w:ascii="仿宋" w:hAnsi="仿宋" w:eastAsia="仿宋" w:cs="仿宋"/>
          <w:color w:val="auto"/>
          <w:sz w:val="32"/>
          <w:szCs w:val="32"/>
          <w:lang w:val="en-US" w:eastAsia="zh-CN"/>
        </w:rPr>
        <w:t>的投标人，</w:t>
      </w:r>
      <w:r>
        <w:rPr>
          <w:rFonts w:hint="eastAsia" w:ascii="仿宋" w:hAnsi="仿宋" w:eastAsia="仿宋" w:cs="仿宋"/>
          <w:color w:val="auto"/>
          <w:sz w:val="32"/>
          <w:szCs w:val="32"/>
        </w:rPr>
        <w:t>对阳新县马岭塘矿和石龙山矿股权调整进行可行性研究，</w:t>
      </w:r>
      <w:r>
        <w:rPr>
          <w:rFonts w:hint="eastAsia" w:ascii="仿宋" w:hAnsi="仿宋" w:eastAsia="仿宋" w:cs="仿宋"/>
          <w:color w:val="auto"/>
          <w:sz w:val="32"/>
          <w:szCs w:val="32"/>
          <w:lang w:val="en-US" w:eastAsia="zh-CN"/>
        </w:rPr>
        <w:t>通过实地踏勘和对地勘报告、矿产资源开发利用与生态复绿方案分析，分别对马岭塘矿、石龙山矿的区位优势、矿种类型、储量、经济价值等进行综合评价，</w:t>
      </w:r>
      <w:r>
        <w:rPr>
          <w:rFonts w:hint="eastAsia" w:ascii="仿宋" w:hAnsi="仿宋" w:eastAsia="仿宋" w:cs="仿宋"/>
          <w:color w:val="auto"/>
          <w:sz w:val="32"/>
          <w:szCs w:val="32"/>
        </w:rPr>
        <w:t>梳理上述股权调整涉及矿山实际情况，分析股权调整的必要性，测算股权调整后的经济效益，对股权调整可能涉及的风险进行分析</w:t>
      </w:r>
      <w:r>
        <w:rPr>
          <w:rFonts w:hint="eastAsia" w:ascii="仿宋" w:hAnsi="仿宋" w:eastAsia="仿宋" w:cs="仿宋"/>
          <w:color w:val="auto"/>
          <w:sz w:val="32"/>
          <w:szCs w:val="32"/>
          <w:lang w:val="en-US" w:eastAsia="zh-CN"/>
        </w:rPr>
        <w:t>等</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以及对当前砂石料市场现状和前景分析，制订并对比两家矿山产出方案、建设方案、运营方案、投融资方案等，</w:t>
      </w:r>
      <w:r>
        <w:rPr>
          <w:rFonts w:hint="eastAsia" w:ascii="仿宋" w:hAnsi="仿宋" w:eastAsia="仿宋" w:cs="仿宋"/>
          <w:color w:val="auto"/>
          <w:sz w:val="32"/>
          <w:szCs w:val="32"/>
        </w:rPr>
        <w:t>并出具</w:t>
      </w:r>
      <w:r>
        <w:rPr>
          <w:rFonts w:hint="eastAsia" w:ascii="仿宋" w:hAnsi="仿宋" w:eastAsia="仿宋" w:cs="仿宋"/>
          <w:color w:val="auto"/>
          <w:sz w:val="32"/>
          <w:szCs w:val="32"/>
          <w:lang w:val="en-US" w:eastAsia="zh-CN"/>
        </w:rPr>
        <w:t>高质量有指导价值的</w:t>
      </w:r>
      <w:r>
        <w:rPr>
          <w:rFonts w:hint="eastAsia" w:ascii="仿宋" w:hAnsi="仿宋" w:eastAsia="仿宋" w:cs="仿宋"/>
          <w:color w:val="auto"/>
          <w:sz w:val="32"/>
          <w:szCs w:val="32"/>
        </w:rPr>
        <w:t>可行性研究报告。</w:t>
      </w:r>
    </w:p>
    <w:p>
      <w:pPr>
        <w:spacing w:line="520" w:lineRule="exact"/>
        <w:ind w:firstLine="643" w:firstLineChars="200"/>
        <w:jc w:val="left"/>
        <w:outlineLvl w:val="1"/>
        <w:rPr>
          <w:rFonts w:ascii="仿宋" w:hAnsi="仿宋" w:eastAsia="仿宋" w:cs="仿宋"/>
          <w:b/>
          <w:bCs/>
          <w:color w:val="auto"/>
          <w:sz w:val="32"/>
          <w:szCs w:val="32"/>
        </w:rPr>
      </w:pPr>
      <w:bookmarkStart w:id="6" w:name="_Toc10730"/>
      <w:bookmarkStart w:id="7" w:name="_Toc25168"/>
      <w:r>
        <w:rPr>
          <w:rFonts w:hint="eastAsia" w:ascii="仿宋" w:hAnsi="仿宋" w:eastAsia="仿宋" w:cs="仿宋"/>
          <w:b/>
          <w:bCs/>
          <w:color w:val="auto"/>
          <w:sz w:val="32"/>
          <w:szCs w:val="32"/>
        </w:rPr>
        <w:t>三、资格条件</w:t>
      </w:r>
      <w:bookmarkEnd w:id="6"/>
      <w:bookmarkEnd w:id="7"/>
    </w:p>
    <w:p>
      <w:pPr>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合格的</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人应具有全面履行合同的能力，并应符合下列条件：</w:t>
      </w:r>
    </w:p>
    <w:p>
      <w:pPr>
        <w:adjustRightInd w:val="0"/>
        <w:snapToGrid w:val="0"/>
        <w:spacing w:line="520" w:lineRule="exact"/>
        <w:ind w:firstLine="640" w:firstLineChars="200"/>
        <w:rPr>
          <w:rStyle w:val="15"/>
          <w:rFonts w:ascii="仿宋" w:hAnsi="仿宋" w:eastAsia="仿宋" w:cs="仿宋"/>
          <w:color w:val="auto"/>
          <w:sz w:val="32"/>
          <w:szCs w:val="32"/>
        </w:rPr>
      </w:pPr>
      <w:r>
        <w:rPr>
          <w:rStyle w:val="15"/>
          <w:rFonts w:hint="eastAsia" w:ascii="仿宋" w:hAnsi="仿宋" w:eastAsia="仿宋" w:cs="仿宋"/>
          <w:color w:val="auto"/>
          <w:sz w:val="32"/>
          <w:szCs w:val="32"/>
        </w:rPr>
        <w:t>（一）</w:t>
      </w:r>
      <w:r>
        <w:rPr>
          <w:rFonts w:hint="eastAsia" w:ascii="仿宋" w:hAnsi="仿宋" w:eastAsia="仿宋" w:cs="仿宋"/>
          <w:color w:val="auto"/>
          <w:sz w:val="32"/>
          <w:szCs w:val="32"/>
          <w:lang w:val="zh-CN"/>
        </w:rPr>
        <w:t>本项目的特定资格要求：投标人须具备</w:t>
      </w:r>
      <w:r>
        <w:rPr>
          <w:rFonts w:hint="eastAsia" w:ascii="仿宋" w:hAnsi="仿宋" w:eastAsia="仿宋" w:cs="仿宋"/>
          <w:color w:val="auto"/>
          <w:sz w:val="32"/>
          <w:szCs w:val="32"/>
        </w:rPr>
        <w:t>矿业权评估资质或资产评估资质。</w:t>
      </w:r>
    </w:p>
    <w:p>
      <w:pPr>
        <w:pStyle w:val="14"/>
        <w:ind w:firstLine="640" w:firstLineChars="200"/>
        <w:rPr>
          <w:rStyle w:val="15"/>
          <w:rFonts w:ascii="仿宋" w:hAnsi="仿宋" w:eastAsia="仿宋" w:cs="仿宋"/>
          <w:color w:val="auto"/>
        </w:rPr>
      </w:pPr>
      <w:r>
        <w:rPr>
          <w:rStyle w:val="15"/>
          <w:rFonts w:hint="eastAsia" w:ascii="仿宋" w:hAnsi="仿宋" w:eastAsia="仿宋" w:cs="仿宋"/>
          <w:color w:val="auto"/>
        </w:rPr>
        <w:t>（二）在中国境内注册并取得的具备独立法人资格的营业执照（三证合一），具有相应的经营范围，且在有效期内。</w:t>
      </w:r>
    </w:p>
    <w:p>
      <w:pPr>
        <w:pStyle w:val="14"/>
        <w:ind w:firstLine="640" w:firstLineChars="200"/>
        <w:rPr>
          <w:rStyle w:val="15"/>
          <w:rFonts w:ascii="仿宋" w:hAnsi="仿宋" w:eastAsia="仿宋" w:cs="仿宋"/>
          <w:color w:val="auto"/>
        </w:rPr>
      </w:pPr>
      <w:r>
        <w:rPr>
          <w:rFonts w:hint="eastAsia" w:ascii="仿宋" w:hAnsi="仿宋" w:eastAsia="仿宋" w:cs="仿宋"/>
          <w:bCs/>
          <w:color w:val="auto"/>
        </w:rPr>
        <w:t>（三）</w:t>
      </w:r>
      <w:r>
        <w:rPr>
          <w:rStyle w:val="15"/>
          <w:rFonts w:hint="eastAsia" w:ascii="仿宋" w:hAnsi="仿宋" w:eastAsia="仿宋" w:cs="仿宋"/>
          <w:color w:val="auto"/>
        </w:rPr>
        <w:t>近三年（公告截止日前三年）至少完成过一项类似业绩（须提供中标通知书或合同协议书并加盖公章）。</w:t>
      </w:r>
    </w:p>
    <w:p>
      <w:pPr>
        <w:adjustRightInd w:val="0"/>
        <w:snapToGrid w:val="0"/>
        <w:spacing w:line="500" w:lineRule="exact"/>
        <w:ind w:firstLine="640" w:firstLineChars="200"/>
        <w:rPr>
          <w:rFonts w:ascii="仿宋" w:hAnsi="仿宋" w:eastAsia="仿宋" w:cs="仿宋"/>
          <w:color w:val="auto"/>
          <w:sz w:val="32"/>
          <w:szCs w:val="32"/>
        </w:rPr>
      </w:pPr>
      <w:bookmarkStart w:id="8" w:name="_Hlk124515137"/>
      <w:r>
        <w:rPr>
          <w:rFonts w:hint="eastAsia" w:ascii="仿宋" w:hAnsi="仿宋" w:eastAsia="仿宋" w:cs="仿宋"/>
          <w:color w:val="auto"/>
          <w:sz w:val="32"/>
          <w:szCs w:val="32"/>
          <w:lang w:val="zh-CN"/>
        </w:rPr>
        <w:t>（</w:t>
      </w:r>
      <w:r>
        <w:rPr>
          <w:rFonts w:hint="eastAsia" w:ascii="仿宋" w:hAnsi="仿宋" w:eastAsia="仿宋" w:cs="仿宋"/>
          <w:color w:val="auto"/>
          <w:sz w:val="32"/>
          <w:szCs w:val="32"/>
        </w:rPr>
        <w:t>四</w:t>
      </w:r>
      <w:r>
        <w:rPr>
          <w:rFonts w:hint="eastAsia" w:ascii="仿宋" w:hAnsi="仿宋" w:eastAsia="仿宋" w:cs="仿宋"/>
          <w:color w:val="auto"/>
          <w:sz w:val="32"/>
          <w:szCs w:val="32"/>
          <w:lang w:val="zh-CN"/>
        </w:rPr>
        <w:t>）</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lang w:val="zh-CN"/>
        </w:rPr>
        <w:t>人具有参加招投标活动近三年内，在经营活动中没有重大违法记录声明；</w:t>
      </w:r>
      <w:bookmarkEnd w:id="8"/>
    </w:p>
    <w:p>
      <w:pPr>
        <w:numPr>
          <w:ilvl w:val="0"/>
          <w:numId w:val="2"/>
        </w:numPr>
        <w:adjustRightInd w:val="0"/>
        <w:snapToGrid w:val="0"/>
        <w:spacing w:line="52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未被列入“信用中国”网站(www.creditchina.gov.cn)失信被执行人、重大税收违法案件当事人，以评审当日查询结果为准。</w:t>
      </w:r>
    </w:p>
    <w:p>
      <w:pPr>
        <w:pStyle w:val="2"/>
        <w:rPr>
          <w:rFonts w:ascii="仿宋" w:hAnsi="仿宋" w:eastAsia="仿宋" w:cs="仿宋"/>
          <w:color w:val="auto"/>
          <w:sz w:val="32"/>
          <w:szCs w:val="32"/>
        </w:rPr>
      </w:pPr>
      <w:r>
        <w:rPr>
          <w:rFonts w:hint="eastAsia" w:ascii="仿宋" w:hAnsi="仿宋" w:eastAsia="仿宋" w:cs="仿宋"/>
          <w:color w:val="auto"/>
          <w:sz w:val="32"/>
          <w:szCs w:val="32"/>
        </w:rPr>
        <w:t xml:space="preserve">    （六）</w:t>
      </w:r>
      <w:r>
        <w:rPr>
          <w:rFonts w:hint="eastAsia" w:ascii="仿宋" w:hAnsi="仿宋" w:eastAsia="仿宋" w:cs="仿宋"/>
          <w:color w:val="auto"/>
          <w:sz w:val="32"/>
          <w:szCs w:val="32"/>
          <w:lang w:val="zh-CN"/>
        </w:rPr>
        <w:t>本项目不接受联合体报价。</w:t>
      </w:r>
    </w:p>
    <w:p>
      <w:pPr>
        <w:spacing w:line="520" w:lineRule="exact"/>
        <w:ind w:firstLine="643" w:firstLineChars="200"/>
        <w:outlineLvl w:val="1"/>
        <w:rPr>
          <w:rFonts w:ascii="仿宋" w:hAnsi="仿宋" w:eastAsia="仿宋" w:cs="仿宋"/>
          <w:b/>
          <w:bCs/>
          <w:color w:val="auto"/>
          <w:sz w:val="32"/>
          <w:szCs w:val="32"/>
        </w:rPr>
      </w:pPr>
      <w:bookmarkStart w:id="9" w:name="_Toc11973"/>
      <w:bookmarkStart w:id="10" w:name="_Toc32464"/>
      <w:r>
        <w:rPr>
          <w:rFonts w:hint="eastAsia" w:ascii="仿宋" w:hAnsi="仿宋" w:eastAsia="仿宋" w:cs="仿宋"/>
          <w:b/>
          <w:bCs/>
          <w:color w:val="auto"/>
          <w:sz w:val="32"/>
          <w:szCs w:val="32"/>
        </w:rPr>
        <w:t>四、</w:t>
      </w:r>
      <w:r>
        <w:rPr>
          <w:rFonts w:hint="eastAsia" w:ascii="仿宋" w:hAnsi="仿宋" w:eastAsia="仿宋" w:cs="仿宋"/>
          <w:b/>
          <w:bCs/>
          <w:color w:val="auto"/>
          <w:sz w:val="32"/>
          <w:szCs w:val="32"/>
          <w:lang w:val="en-US" w:eastAsia="zh-CN"/>
        </w:rPr>
        <w:t>投标</w:t>
      </w:r>
      <w:r>
        <w:rPr>
          <w:rFonts w:hint="eastAsia" w:ascii="仿宋" w:hAnsi="仿宋" w:eastAsia="仿宋" w:cs="仿宋"/>
          <w:b/>
          <w:bCs/>
          <w:color w:val="auto"/>
          <w:sz w:val="32"/>
          <w:szCs w:val="32"/>
        </w:rPr>
        <w:t>文件内容（均需盖公章）</w:t>
      </w:r>
      <w:bookmarkEnd w:id="9"/>
      <w:bookmarkEnd w:id="10"/>
    </w:p>
    <w:p>
      <w:pPr>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（一）报价表（附件1）；</w:t>
      </w:r>
    </w:p>
    <w:p>
      <w:pPr>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（二）授权委托书（附件2）；</w:t>
      </w:r>
    </w:p>
    <w:p>
      <w:pPr>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（三）营业执照副本或事业单位法人证书复印件；</w:t>
      </w:r>
    </w:p>
    <w:p>
      <w:pPr>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（四）“信用中国”查询截图；</w:t>
      </w:r>
    </w:p>
    <w:p>
      <w:pPr>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（五）承诺书（附件3）；</w:t>
      </w:r>
    </w:p>
    <w:p>
      <w:pPr>
        <w:spacing w:line="520" w:lineRule="exact"/>
        <w:ind w:firstLine="640" w:firstLineChars="200"/>
        <w:rPr>
          <w:rFonts w:ascii="仿宋" w:hAnsi="仿宋" w:eastAsia="仿宋" w:cs="仿宋"/>
          <w:color w:val="auto"/>
        </w:rPr>
      </w:pPr>
      <w:r>
        <w:rPr>
          <w:rFonts w:hint="eastAsia" w:ascii="仿宋" w:hAnsi="仿宋" w:eastAsia="仿宋" w:cs="仿宋"/>
          <w:color w:val="auto"/>
          <w:sz w:val="32"/>
          <w:szCs w:val="32"/>
        </w:rPr>
        <w:t>（六）近三年业绩合同复印件。</w:t>
      </w:r>
    </w:p>
    <w:p>
      <w:pPr>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备注：</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文件要求装订成册后密封，一式三份，报价大小写数据不一致以大写为准，总价与单价不一致以总价为准。如有弄虚作假行为，视同放弃中标资格并承担相应的法律责任。</w:t>
      </w:r>
    </w:p>
    <w:p>
      <w:pPr>
        <w:spacing w:line="520" w:lineRule="exact"/>
        <w:ind w:firstLine="643" w:firstLineChars="200"/>
        <w:outlineLvl w:val="1"/>
        <w:rPr>
          <w:rFonts w:ascii="仿宋" w:hAnsi="仿宋" w:eastAsia="仿宋" w:cs="仿宋"/>
          <w:b/>
          <w:bCs/>
          <w:color w:val="auto"/>
          <w:sz w:val="32"/>
          <w:szCs w:val="32"/>
        </w:rPr>
      </w:pPr>
      <w:bookmarkStart w:id="11" w:name="_Toc16020"/>
      <w:bookmarkStart w:id="12" w:name="_Toc1173"/>
      <w:r>
        <w:rPr>
          <w:rFonts w:hint="eastAsia" w:ascii="仿宋" w:hAnsi="仿宋" w:eastAsia="仿宋" w:cs="仿宋"/>
          <w:b/>
          <w:bCs/>
          <w:color w:val="auto"/>
          <w:sz w:val="32"/>
          <w:szCs w:val="32"/>
        </w:rPr>
        <w:t>五、中标原则</w:t>
      </w:r>
      <w:bookmarkEnd w:id="11"/>
      <w:bookmarkEnd w:id="12"/>
    </w:p>
    <w:p>
      <w:pPr>
        <w:pStyle w:val="9"/>
        <w:widowControl w:val="0"/>
        <w:autoSpaceDE w:val="0"/>
        <w:autoSpaceDN w:val="0"/>
        <w:adjustRightInd w:val="0"/>
        <w:snapToGrid w:val="0"/>
        <w:spacing w:before="0" w:beforeAutospacing="0" w:after="0" w:afterAutospacing="0" w:line="520" w:lineRule="exact"/>
        <w:ind w:firstLine="640" w:firstLineChars="200"/>
        <w:jc w:val="both"/>
        <w:rPr>
          <w:rFonts w:ascii="仿宋" w:hAnsi="仿宋" w:eastAsia="仿宋" w:cs="仿宋"/>
          <w:color w:val="auto"/>
          <w:sz w:val="32"/>
          <w:szCs w:val="32"/>
        </w:rPr>
      </w:pPr>
      <w:r>
        <w:rPr>
          <w:rFonts w:hint="eastAsia" w:ascii="仿宋" w:hAnsi="仿宋" w:eastAsia="仿宋" w:cs="仿宋"/>
          <w:color w:val="auto"/>
          <w:kern w:val="2"/>
          <w:sz w:val="32"/>
          <w:szCs w:val="32"/>
        </w:rPr>
        <w:t>本项目采用“综合评分”方法实施招投标活动，有关条款详见招标文件</w:t>
      </w:r>
      <w:r>
        <w:rPr>
          <w:rFonts w:hint="eastAsia" w:ascii="仿宋" w:hAnsi="仿宋" w:eastAsia="仿宋" w:cs="仿宋"/>
          <w:color w:val="auto"/>
          <w:sz w:val="32"/>
          <w:szCs w:val="32"/>
        </w:rPr>
        <w:t>。</w:t>
      </w:r>
    </w:p>
    <w:p>
      <w:pPr>
        <w:spacing w:line="520" w:lineRule="exact"/>
        <w:ind w:firstLine="643" w:firstLineChars="200"/>
        <w:outlineLvl w:val="1"/>
        <w:rPr>
          <w:rFonts w:ascii="仿宋" w:hAnsi="仿宋" w:eastAsia="仿宋" w:cs="仿宋"/>
          <w:b/>
          <w:bCs/>
          <w:color w:val="auto"/>
          <w:sz w:val="32"/>
          <w:szCs w:val="32"/>
        </w:rPr>
      </w:pPr>
      <w:bookmarkStart w:id="13" w:name="_Toc22706"/>
      <w:bookmarkStart w:id="14" w:name="_Toc32421"/>
      <w:r>
        <w:rPr>
          <w:rFonts w:hint="eastAsia" w:ascii="仿宋" w:hAnsi="仿宋" w:eastAsia="仿宋" w:cs="仿宋"/>
          <w:b/>
          <w:bCs/>
          <w:color w:val="auto"/>
          <w:sz w:val="32"/>
          <w:szCs w:val="32"/>
        </w:rPr>
        <w:t>六、签订合同及付款方式</w:t>
      </w:r>
      <w:bookmarkEnd w:id="13"/>
      <w:bookmarkEnd w:id="14"/>
    </w:p>
    <w:p>
      <w:pPr>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采购文件、成交供应商的</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文件及有效承诺文件、澄清文件等，均作为签订合同的依据，付款方式为可研分析报告通过评审后30日内付清全部合同款，具体以合同为准。</w:t>
      </w:r>
    </w:p>
    <w:p>
      <w:pPr>
        <w:spacing w:line="520" w:lineRule="exact"/>
        <w:ind w:firstLine="643" w:firstLineChars="200"/>
        <w:outlineLvl w:val="1"/>
        <w:rPr>
          <w:rFonts w:ascii="仿宋" w:hAnsi="仿宋" w:eastAsia="仿宋" w:cs="仿宋"/>
          <w:b/>
          <w:bCs/>
          <w:color w:val="auto"/>
          <w:sz w:val="32"/>
          <w:szCs w:val="32"/>
        </w:rPr>
      </w:pPr>
      <w:bookmarkStart w:id="15" w:name="_Toc32676"/>
      <w:bookmarkStart w:id="16" w:name="_Toc22216"/>
      <w:r>
        <w:rPr>
          <w:rFonts w:hint="eastAsia" w:ascii="仿宋" w:hAnsi="仿宋" w:eastAsia="仿宋" w:cs="仿宋"/>
          <w:b/>
          <w:bCs/>
          <w:color w:val="auto"/>
          <w:sz w:val="32"/>
          <w:szCs w:val="32"/>
        </w:rPr>
        <w:t>七、</w:t>
      </w:r>
      <w:r>
        <w:rPr>
          <w:rFonts w:hint="eastAsia" w:ascii="仿宋" w:hAnsi="仿宋" w:eastAsia="仿宋" w:cs="仿宋"/>
          <w:b/>
          <w:bCs/>
          <w:color w:val="auto"/>
          <w:sz w:val="32"/>
          <w:szCs w:val="32"/>
          <w:lang w:val="en-US" w:eastAsia="zh-CN"/>
        </w:rPr>
        <w:t>投标</w:t>
      </w:r>
      <w:r>
        <w:rPr>
          <w:rFonts w:hint="eastAsia" w:ascii="仿宋" w:hAnsi="仿宋" w:eastAsia="仿宋" w:cs="仿宋"/>
          <w:b/>
          <w:bCs/>
          <w:color w:val="auto"/>
          <w:sz w:val="32"/>
          <w:szCs w:val="32"/>
        </w:rPr>
        <w:t>文件的递交</w:t>
      </w:r>
      <w:bookmarkEnd w:id="15"/>
      <w:bookmarkEnd w:id="16"/>
    </w:p>
    <w:p>
      <w:pPr>
        <w:adjustRightInd w:val="0"/>
        <w:snapToGrid w:val="0"/>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文件递交截止时间（递交时间）：202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日上午10：00整。</w:t>
      </w:r>
    </w:p>
    <w:p>
      <w:pPr>
        <w:adjustRightInd w:val="0"/>
        <w:snapToGrid w:val="0"/>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 HYPERLINK "https://www.baidu.com/link?url=uL3RrtTBbv5YS27LDfW7zFtaCwgC40oB2h08ZBgDe-i&amp;amp;wd&amp;amp;eqid=f29a7d930012f6ac000000065d517826" \h </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（二）递交地点：黄石市城发矿业有限公司（地址：黄石城发集团颐阳路办公区4楼会议室）</w:t>
      </w:r>
    </w:p>
    <w:p>
      <w:pPr>
        <w:adjustRightInd w:val="0"/>
        <w:snapToGrid w:val="0"/>
        <w:spacing w:line="52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（三）</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文件采取现场递交的方式进行，截止时间后递交的响应文件不予接收。</w:t>
      </w:r>
    </w:p>
    <w:p>
      <w:pPr>
        <w:spacing w:line="520" w:lineRule="exact"/>
        <w:ind w:firstLine="643" w:firstLineChars="200"/>
        <w:jc w:val="left"/>
        <w:outlineLvl w:val="1"/>
        <w:rPr>
          <w:rFonts w:ascii="仿宋" w:hAnsi="仿宋" w:eastAsia="仿宋" w:cs="仿宋"/>
          <w:b/>
          <w:bCs/>
          <w:color w:val="auto"/>
          <w:sz w:val="32"/>
          <w:szCs w:val="32"/>
        </w:rPr>
      </w:pPr>
      <w:bookmarkStart w:id="17" w:name="_Toc29977"/>
      <w:bookmarkStart w:id="18" w:name="_Toc538"/>
      <w:r>
        <w:rPr>
          <w:rFonts w:hint="eastAsia" w:ascii="仿宋" w:hAnsi="仿宋" w:eastAsia="仿宋" w:cs="仿宋"/>
          <w:b/>
          <w:bCs/>
          <w:color w:val="auto"/>
          <w:sz w:val="32"/>
          <w:szCs w:val="32"/>
        </w:rPr>
        <w:t>八、发布公告的媒介</w:t>
      </w:r>
      <w:bookmarkEnd w:id="17"/>
      <w:bookmarkEnd w:id="18"/>
    </w:p>
    <w:p>
      <w:pPr>
        <w:adjustRightInd w:val="0"/>
        <w:snapToGrid w:val="0"/>
        <w:spacing w:line="520" w:lineRule="exact"/>
        <w:ind w:firstLine="640" w:firstLineChars="200"/>
        <w:rPr>
          <w:rFonts w:ascii="仿宋" w:hAnsi="仿宋" w:eastAsia="仿宋" w:cs="仿宋"/>
          <w:color w:val="auto"/>
          <w:sz w:val="32"/>
          <w:szCs w:val="32"/>
        </w:rPr>
      </w:pPr>
      <w:bookmarkStart w:id="19" w:name="_Toc73631899"/>
      <w:r>
        <w:rPr>
          <w:rFonts w:hint="eastAsia" w:ascii="仿宋" w:hAnsi="仿宋" w:eastAsia="仿宋" w:cs="仿宋"/>
          <w:color w:val="auto"/>
          <w:sz w:val="32"/>
          <w:szCs w:val="32"/>
        </w:rPr>
        <w:t>本次</w:t>
      </w:r>
      <w:r>
        <w:rPr>
          <w:rFonts w:hint="eastAsia" w:ascii="仿宋" w:hAnsi="仿宋" w:eastAsia="仿宋" w:cs="仿宋"/>
          <w:color w:val="auto"/>
          <w:sz w:val="32"/>
          <w:szCs w:val="32"/>
          <w:lang w:val="en-US" w:eastAsia="zh-CN"/>
        </w:rPr>
        <w:t>招标</w:t>
      </w:r>
      <w:r>
        <w:rPr>
          <w:rFonts w:hint="eastAsia" w:ascii="仿宋" w:hAnsi="仿宋" w:eastAsia="仿宋" w:cs="仿宋"/>
          <w:color w:val="auto"/>
          <w:sz w:val="32"/>
          <w:szCs w:val="32"/>
        </w:rPr>
        <w:t>公告在黄石市城市发展投资集团有限公司网上发布。</w:t>
      </w:r>
    </w:p>
    <w:p>
      <w:pPr>
        <w:spacing w:line="520" w:lineRule="exact"/>
        <w:ind w:firstLine="643" w:firstLineChars="200"/>
        <w:jc w:val="left"/>
        <w:outlineLvl w:val="1"/>
        <w:rPr>
          <w:rFonts w:ascii="仿宋" w:hAnsi="仿宋" w:eastAsia="仿宋" w:cs="仿宋"/>
          <w:b/>
          <w:bCs/>
          <w:color w:val="auto"/>
          <w:sz w:val="32"/>
          <w:szCs w:val="32"/>
        </w:rPr>
      </w:pPr>
      <w:bookmarkStart w:id="20" w:name="_Toc14156"/>
      <w:bookmarkStart w:id="21" w:name="_Toc4326"/>
      <w:r>
        <w:rPr>
          <w:rFonts w:hint="eastAsia" w:ascii="仿宋" w:hAnsi="仿宋" w:eastAsia="仿宋" w:cs="仿宋"/>
          <w:b/>
          <w:bCs/>
          <w:color w:val="auto"/>
          <w:sz w:val="32"/>
          <w:szCs w:val="32"/>
        </w:rPr>
        <w:t>九、联系方式</w:t>
      </w:r>
      <w:bookmarkEnd w:id="19"/>
      <w:bookmarkEnd w:id="20"/>
      <w:bookmarkEnd w:id="21"/>
    </w:p>
    <w:p>
      <w:pPr>
        <w:pStyle w:val="4"/>
        <w:adjustRightInd w:val="0"/>
        <w:snapToGrid w:val="0"/>
        <w:spacing w:after="0" w:line="52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采 购 人：黄石市城发矿业有限公司</w:t>
      </w:r>
    </w:p>
    <w:p>
      <w:pPr>
        <w:pStyle w:val="4"/>
        <w:adjustRightInd w:val="0"/>
        <w:snapToGrid w:val="0"/>
        <w:spacing w:after="0" w:line="520" w:lineRule="exact"/>
        <w:ind w:firstLine="640" w:firstLineChars="200"/>
        <w:rPr>
          <w:rFonts w:hint="eastAsia" w:ascii="仿宋" w:hAnsi="仿宋" w:eastAsia="仿宋" w:cs="仿宋"/>
          <w:bCs/>
          <w:color w:val="auto"/>
          <w:sz w:val="32"/>
          <w:szCs w:val="32"/>
          <w:lang w:val="en-US" w:eastAsia="zh-CN"/>
        </w:rPr>
      </w:pPr>
      <w:r>
        <w:rPr>
          <w:rFonts w:hint="eastAsia" w:ascii="仿宋" w:hAnsi="仿宋" w:eastAsia="仿宋" w:cs="仿宋"/>
          <w:bCs/>
          <w:color w:val="auto"/>
          <w:sz w:val="32"/>
          <w:szCs w:val="32"/>
        </w:rPr>
        <w:t>联 系 人：舒</w:t>
      </w:r>
      <w:r>
        <w:rPr>
          <w:rFonts w:hint="eastAsia" w:ascii="仿宋" w:hAnsi="仿宋" w:eastAsia="仿宋" w:cs="仿宋"/>
          <w:bCs/>
          <w:color w:val="auto"/>
          <w:sz w:val="32"/>
          <w:szCs w:val="32"/>
          <w:lang w:val="en-US" w:eastAsia="zh-CN"/>
        </w:rPr>
        <w:t>工</w:t>
      </w:r>
    </w:p>
    <w:p>
      <w:pPr>
        <w:pStyle w:val="4"/>
        <w:adjustRightInd w:val="0"/>
        <w:snapToGrid w:val="0"/>
        <w:spacing w:after="0" w:line="52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电    话：19872211890</w:t>
      </w:r>
    </w:p>
    <w:p>
      <w:pPr>
        <w:pStyle w:val="4"/>
        <w:adjustRightInd w:val="0"/>
        <w:snapToGrid w:val="0"/>
        <w:spacing w:after="0" w:line="52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 xml:space="preserve"> </w:t>
      </w:r>
    </w:p>
    <w:p>
      <w:pPr>
        <w:adjustRightInd w:val="0"/>
        <w:snapToGrid w:val="0"/>
        <w:spacing w:line="520" w:lineRule="exact"/>
        <w:ind w:firstLine="420" w:firstLineChars="200"/>
        <w:rPr>
          <w:rFonts w:ascii="仿宋" w:hAnsi="仿宋" w:eastAsia="仿宋" w:cs="仿宋"/>
          <w:color w:val="auto"/>
          <w:sz w:val="21"/>
          <w:szCs w:val="21"/>
          <w:lang w:bidi="ar"/>
        </w:rPr>
      </w:pPr>
    </w:p>
    <w:p>
      <w:pPr>
        <w:spacing w:line="520" w:lineRule="exact"/>
        <w:rPr>
          <w:rFonts w:ascii="仿宋" w:hAnsi="仿宋" w:eastAsia="仿宋" w:cs="仿宋"/>
          <w:color w:val="auto"/>
          <w:sz w:val="32"/>
          <w:szCs w:val="32"/>
        </w:rPr>
      </w:pPr>
      <w:r>
        <w:rPr>
          <w:rFonts w:hint="eastAsia" w:ascii="仿宋" w:hAnsi="仿宋" w:eastAsia="仿宋" w:cs="仿宋"/>
          <w:color w:val="auto"/>
          <w:sz w:val="21"/>
          <w:szCs w:val="21"/>
          <w:lang w:bidi="ar"/>
        </w:rPr>
        <w:t xml:space="preserve">                                         </w:t>
      </w:r>
      <w:r>
        <w:rPr>
          <w:rFonts w:hint="eastAsia" w:ascii="仿宋" w:hAnsi="仿宋" w:eastAsia="仿宋" w:cs="仿宋"/>
          <w:color w:val="auto"/>
          <w:sz w:val="32"/>
          <w:szCs w:val="32"/>
        </w:rPr>
        <w:t>黄石市城发矿业有限公司</w:t>
      </w:r>
    </w:p>
    <w:p>
      <w:pPr>
        <w:ind w:firstLine="4800" w:firstLineChars="1500"/>
        <w:rPr>
          <w:rFonts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年1月</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 xml:space="preserve">日 </w:t>
      </w:r>
      <w:bookmarkStart w:id="22" w:name="_Toc11679"/>
      <w:bookmarkStart w:id="23" w:name="_Toc17281"/>
    </w:p>
    <w:p>
      <w:pPr>
        <w:adjustRightInd w:val="0"/>
        <w:snapToGrid w:val="0"/>
        <w:spacing w:line="400" w:lineRule="exact"/>
        <w:outlineLvl w:val="0"/>
        <w:rPr>
          <w:rFonts w:ascii="仿宋" w:hAnsi="仿宋" w:eastAsia="仿宋" w:cs="仿宋"/>
          <w:color w:val="auto"/>
          <w:sz w:val="32"/>
          <w:szCs w:val="32"/>
        </w:rPr>
      </w:pPr>
      <w:r>
        <w:rPr>
          <w:rFonts w:hint="eastAsia" w:ascii="仿宋" w:hAnsi="仿宋" w:eastAsia="仿宋" w:cs="仿宋"/>
          <w:color w:val="auto"/>
          <w:sz w:val="32"/>
          <w:szCs w:val="32"/>
        </w:rPr>
        <w:t>附件1</w:t>
      </w:r>
      <w:bookmarkEnd w:id="22"/>
      <w:bookmarkEnd w:id="23"/>
    </w:p>
    <w:p>
      <w:pPr>
        <w:adjustRightInd w:val="0"/>
        <w:snapToGrid w:val="0"/>
        <w:spacing w:line="400" w:lineRule="exact"/>
        <w:rPr>
          <w:rFonts w:ascii="仿宋" w:hAnsi="仿宋" w:eastAsia="仿宋" w:cs="仿宋"/>
          <w:color w:val="auto"/>
          <w:sz w:val="21"/>
          <w:szCs w:val="21"/>
        </w:rPr>
      </w:pPr>
    </w:p>
    <w:p>
      <w:pPr>
        <w:adjustRightInd w:val="0"/>
        <w:snapToGrid w:val="0"/>
        <w:spacing w:line="560" w:lineRule="exact"/>
        <w:jc w:val="center"/>
        <w:rPr>
          <w:rFonts w:ascii="仿宋" w:hAnsi="仿宋" w:eastAsia="仿宋" w:cs="仿宋"/>
          <w:b/>
          <w:bCs/>
          <w:color w:val="auto"/>
          <w:sz w:val="44"/>
          <w:szCs w:val="44"/>
        </w:rPr>
      </w:pPr>
      <w:r>
        <w:rPr>
          <w:rFonts w:hint="eastAsia" w:ascii="仿宋" w:hAnsi="仿宋" w:eastAsia="仿宋" w:cs="仿宋"/>
          <w:b/>
          <w:bCs/>
          <w:color w:val="auto"/>
          <w:sz w:val="44"/>
          <w:szCs w:val="44"/>
        </w:rPr>
        <w:t>报  价  表</w:t>
      </w:r>
    </w:p>
    <w:p>
      <w:pPr>
        <w:adjustRightInd w:val="0"/>
        <w:snapToGrid w:val="0"/>
        <w:spacing w:line="400" w:lineRule="exact"/>
        <w:rPr>
          <w:rFonts w:ascii="仿宋" w:hAnsi="仿宋" w:eastAsia="仿宋" w:cs="仿宋"/>
          <w:color w:val="auto"/>
          <w:sz w:val="32"/>
          <w:szCs w:val="32"/>
        </w:rPr>
      </w:pPr>
    </w:p>
    <w:p>
      <w:pPr>
        <w:adjustRightInd w:val="0"/>
        <w:snapToGrid w:val="0"/>
        <w:spacing w:line="560" w:lineRule="exact"/>
        <w:rPr>
          <w:rFonts w:ascii="仿宋" w:hAnsi="仿宋" w:eastAsia="仿宋" w:cs="仿宋"/>
          <w:color w:val="auto"/>
          <w:sz w:val="32"/>
          <w:szCs w:val="32"/>
        </w:rPr>
      </w:pPr>
      <w:r>
        <w:rPr>
          <w:rFonts w:hint="eastAsia" w:ascii="仿宋" w:hAnsi="仿宋" w:eastAsia="仿宋" w:cs="仿宋"/>
          <w:color w:val="auto"/>
          <w:sz w:val="32"/>
          <w:szCs w:val="32"/>
        </w:rPr>
        <w:t>项目名称：阳新县马岭塘矿和石龙山矿股权调整可行性研究服务</w:t>
      </w:r>
    </w:p>
    <w:tbl>
      <w:tblPr>
        <w:tblStyle w:val="12"/>
        <w:tblW w:w="9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32"/>
        <w:gridCol w:w="2681"/>
        <w:gridCol w:w="2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4132" w:type="dxa"/>
            <w:vAlign w:val="center"/>
          </w:tcPr>
          <w:p>
            <w:pPr>
              <w:adjustRightInd w:val="0"/>
              <w:snapToGrid w:val="0"/>
              <w:spacing w:line="5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项目名称</w:t>
            </w:r>
          </w:p>
        </w:tc>
        <w:tc>
          <w:tcPr>
            <w:tcW w:w="2681" w:type="dxa"/>
            <w:vAlign w:val="center"/>
          </w:tcPr>
          <w:p>
            <w:pPr>
              <w:adjustRightInd w:val="0"/>
              <w:snapToGrid w:val="0"/>
              <w:spacing w:line="560" w:lineRule="exact"/>
              <w:jc w:val="center"/>
              <w:rPr>
                <w:rFonts w:ascii="仿宋" w:hAnsi="仿宋" w:eastAsia="仿宋" w:cs="仿宋"/>
                <w:color w:val="auto"/>
                <w:sz w:val="32"/>
                <w:szCs w:val="32"/>
              </w:rPr>
            </w:pPr>
            <w:r>
              <w:rPr>
                <w:rFonts w:hint="eastAsia" w:ascii="仿宋" w:hAnsi="仿宋" w:eastAsia="仿宋" w:cs="仿宋"/>
                <w:color w:val="auto"/>
                <w:sz w:val="32"/>
                <w:szCs w:val="32"/>
              </w:rPr>
              <w:t>报价（万元）</w:t>
            </w:r>
          </w:p>
        </w:tc>
        <w:tc>
          <w:tcPr>
            <w:tcW w:w="2575" w:type="dxa"/>
            <w:vAlign w:val="center"/>
          </w:tcPr>
          <w:p>
            <w:pPr>
              <w:adjustRightInd w:val="0"/>
              <w:snapToGrid w:val="0"/>
              <w:spacing w:line="560" w:lineRule="exact"/>
              <w:jc w:val="center"/>
              <w:rPr>
                <w:rFonts w:ascii="仿宋" w:hAnsi="仿宋" w:eastAsia="仿宋" w:cs="仿宋"/>
                <w:color w:val="auto"/>
                <w:sz w:val="32"/>
                <w:szCs w:val="32"/>
              </w:rPr>
            </w:pPr>
            <w:r>
              <w:rPr>
                <w:rFonts w:hint="eastAsia" w:ascii="仿宋" w:hAnsi="仿宋" w:eastAsia="仿宋" w:cs="仿宋"/>
                <w:color w:val="auto"/>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4132" w:type="dxa"/>
            <w:vAlign w:val="center"/>
          </w:tcPr>
          <w:p>
            <w:pPr>
              <w:adjustRightInd w:val="0"/>
              <w:snapToGrid w:val="0"/>
              <w:spacing w:line="560" w:lineRule="exact"/>
              <w:rPr>
                <w:rFonts w:ascii="仿宋" w:hAnsi="仿宋" w:eastAsia="仿宋" w:cs="仿宋"/>
                <w:color w:val="auto"/>
                <w:sz w:val="32"/>
                <w:szCs w:val="32"/>
              </w:rPr>
            </w:pPr>
            <w:r>
              <w:rPr>
                <w:rFonts w:hint="eastAsia" w:ascii="仿宋" w:hAnsi="仿宋" w:eastAsia="仿宋" w:cs="仿宋"/>
                <w:color w:val="auto"/>
                <w:sz w:val="32"/>
                <w:szCs w:val="32"/>
              </w:rPr>
              <w:t>阳新县马岭塘矿和石龙山矿股权调整可行性研究服务</w:t>
            </w:r>
          </w:p>
        </w:tc>
        <w:tc>
          <w:tcPr>
            <w:tcW w:w="2681" w:type="dxa"/>
            <w:vAlign w:val="center"/>
          </w:tcPr>
          <w:p>
            <w:pPr>
              <w:adjustRightInd w:val="0"/>
              <w:snapToGrid w:val="0"/>
              <w:spacing w:line="400" w:lineRule="exact"/>
              <w:rPr>
                <w:rFonts w:ascii="仿宋" w:hAnsi="仿宋" w:eastAsia="仿宋" w:cs="仿宋"/>
                <w:color w:val="auto"/>
                <w:sz w:val="32"/>
                <w:szCs w:val="32"/>
              </w:rPr>
            </w:pPr>
          </w:p>
        </w:tc>
        <w:tc>
          <w:tcPr>
            <w:tcW w:w="2575" w:type="dxa"/>
            <w:vAlign w:val="center"/>
          </w:tcPr>
          <w:p>
            <w:pPr>
              <w:adjustRightInd w:val="0"/>
              <w:snapToGrid w:val="0"/>
              <w:spacing w:line="400" w:lineRule="exact"/>
              <w:rPr>
                <w:rFonts w:ascii="仿宋" w:hAnsi="仿宋" w:eastAsia="仿宋" w:cs="仿宋"/>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4132" w:type="dxa"/>
            <w:vAlign w:val="center"/>
          </w:tcPr>
          <w:p>
            <w:pPr>
              <w:adjustRightInd w:val="0"/>
              <w:snapToGrid w:val="0"/>
              <w:spacing w:line="560" w:lineRule="exact"/>
              <w:rPr>
                <w:rFonts w:ascii="仿宋" w:hAnsi="仿宋" w:eastAsia="仿宋" w:cs="仿宋"/>
                <w:color w:val="auto"/>
                <w:sz w:val="32"/>
                <w:szCs w:val="32"/>
              </w:rPr>
            </w:pPr>
            <w:r>
              <w:rPr>
                <w:rFonts w:hint="eastAsia" w:ascii="仿宋" w:hAnsi="仿宋" w:eastAsia="仿宋" w:cs="仿宋"/>
                <w:color w:val="auto"/>
                <w:sz w:val="32"/>
                <w:szCs w:val="32"/>
              </w:rPr>
              <w:t>大写</w:t>
            </w:r>
          </w:p>
        </w:tc>
        <w:tc>
          <w:tcPr>
            <w:tcW w:w="5256" w:type="dxa"/>
            <w:gridSpan w:val="2"/>
            <w:vAlign w:val="center"/>
          </w:tcPr>
          <w:p>
            <w:pPr>
              <w:adjustRightInd w:val="0"/>
              <w:snapToGrid w:val="0"/>
              <w:spacing w:line="400" w:lineRule="exact"/>
              <w:rPr>
                <w:rFonts w:ascii="仿宋" w:hAnsi="仿宋" w:eastAsia="仿宋" w:cs="仿宋"/>
                <w:color w:val="auto"/>
                <w:sz w:val="32"/>
                <w:szCs w:val="32"/>
              </w:rPr>
            </w:pPr>
          </w:p>
        </w:tc>
      </w:tr>
    </w:tbl>
    <w:p>
      <w:pPr>
        <w:adjustRightInd w:val="0"/>
        <w:snapToGrid w:val="0"/>
        <w:spacing w:line="400" w:lineRule="exact"/>
        <w:rPr>
          <w:rFonts w:ascii="仿宋" w:hAnsi="仿宋" w:eastAsia="仿宋" w:cs="仿宋"/>
          <w:color w:val="auto"/>
          <w:sz w:val="32"/>
          <w:szCs w:val="32"/>
        </w:rPr>
      </w:pPr>
    </w:p>
    <w:p>
      <w:pPr>
        <w:adjustRightInd w:val="0"/>
        <w:snapToGrid w:val="0"/>
        <w:spacing w:line="400" w:lineRule="exact"/>
        <w:rPr>
          <w:rFonts w:ascii="仿宋" w:hAnsi="仿宋" w:eastAsia="仿宋" w:cs="仿宋"/>
          <w:color w:val="auto"/>
          <w:sz w:val="32"/>
          <w:szCs w:val="32"/>
        </w:rPr>
      </w:pPr>
    </w:p>
    <w:p>
      <w:pPr>
        <w:adjustRightInd w:val="0"/>
        <w:snapToGrid w:val="0"/>
        <w:spacing w:line="400" w:lineRule="exact"/>
        <w:rPr>
          <w:rFonts w:ascii="仿宋" w:hAnsi="仿宋" w:eastAsia="仿宋" w:cs="仿宋"/>
          <w:color w:val="auto"/>
          <w:sz w:val="32"/>
          <w:szCs w:val="32"/>
        </w:rPr>
      </w:pPr>
      <w:r>
        <w:rPr>
          <w:rFonts w:hint="eastAsia" w:ascii="仿宋" w:hAnsi="仿宋" w:eastAsia="仿宋" w:cs="仿宋"/>
          <w:color w:val="auto"/>
          <w:sz w:val="32"/>
          <w:szCs w:val="32"/>
        </w:rPr>
        <w:t>参与报价单位（盖章）：</w:t>
      </w:r>
    </w:p>
    <w:p>
      <w:pPr>
        <w:adjustRightInd w:val="0"/>
        <w:snapToGrid w:val="0"/>
        <w:spacing w:line="400" w:lineRule="exact"/>
        <w:rPr>
          <w:rFonts w:ascii="仿宋" w:hAnsi="仿宋" w:eastAsia="仿宋" w:cs="仿宋"/>
          <w:color w:val="auto"/>
          <w:sz w:val="32"/>
          <w:szCs w:val="32"/>
        </w:rPr>
      </w:pPr>
    </w:p>
    <w:p>
      <w:pPr>
        <w:adjustRightInd w:val="0"/>
        <w:snapToGrid w:val="0"/>
        <w:spacing w:line="400" w:lineRule="exact"/>
        <w:rPr>
          <w:rFonts w:ascii="仿宋" w:hAnsi="仿宋" w:eastAsia="仿宋" w:cs="仿宋"/>
          <w:color w:val="auto"/>
          <w:sz w:val="32"/>
          <w:szCs w:val="32"/>
        </w:rPr>
      </w:pPr>
    </w:p>
    <w:p>
      <w:pPr>
        <w:adjustRightInd w:val="0"/>
        <w:snapToGrid w:val="0"/>
        <w:spacing w:line="400" w:lineRule="exact"/>
        <w:rPr>
          <w:rFonts w:ascii="仿宋" w:hAnsi="仿宋" w:eastAsia="仿宋" w:cs="仿宋"/>
          <w:color w:val="auto"/>
          <w:sz w:val="32"/>
          <w:szCs w:val="32"/>
        </w:rPr>
      </w:pPr>
      <w:r>
        <w:rPr>
          <w:rFonts w:hint="eastAsia" w:ascii="仿宋" w:hAnsi="仿宋" w:eastAsia="仿宋" w:cs="仿宋"/>
          <w:color w:val="auto"/>
          <w:sz w:val="32"/>
          <w:szCs w:val="32"/>
        </w:rPr>
        <w:t>法定代表人或其委托代理人（签字）：</w:t>
      </w:r>
    </w:p>
    <w:p>
      <w:pPr>
        <w:adjustRightInd w:val="0"/>
        <w:snapToGrid w:val="0"/>
        <w:spacing w:line="400" w:lineRule="exact"/>
        <w:rPr>
          <w:rFonts w:ascii="仿宋" w:hAnsi="仿宋" w:eastAsia="仿宋" w:cs="仿宋"/>
          <w:color w:val="auto"/>
          <w:sz w:val="32"/>
          <w:szCs w:val="32"/>
        </w:rPr>
      </w:pPr>
    </w:p>
    <w:p>
      <w:pPr>
        <w:adjustRightInd w:val="0"/>
        <w:snapToGrid w:val="0"/>
        <w:spacing w:line="400" w:lineRule="exact"/>
        <w:rPr>
          <w:rFonts w:ascii="仿宋" w:hAnsi="仿宋" w:eastAsia="仿宋" w:cs="仿宋"/>
          <w:color w:val="auto"/>
          <w:sz w:val="32"/>
          <w:szCs w:val="32"/>
        </w:rPr>
      </w:pPr>
    </w:p>
    <w:p>
      <w:pPr>
        <w:adjustRightInd w:val="0"/>
        <w:snapToGrid w:val="0"/>
        <w:spacing w:line="400" w:lineRule="exact"/>
        <w:rPr>
          <w:rFonts w:ascii="仿宋" w:hAnsi="仿宋" w:eastAsia="仿宋" w:cs="仿宋"/>
          <w:color w:val="auto"/>
          <w:sz w:val="21"/>
          <w:szCs w:val="21"/>
        </w:rPr>
      </w:pPr>
      <w:r>
        <w:rPr>
          <w:rFonts w:hint="eastAsia" w:ascii="仿宋" w:hAnsi="仿宋" w:eastAsia="仿宋" w:cs="仿宋"/>
          <w:color w:val="auto"/>
          <w:sz w:val="32"/>
          <w:szCs w:val="32"/>
        </w:rPr>
        <w:t>年    月   日</w:t>
      </w:r>
    </w:p>
    <w:p>
      <w:pPr>
        <w:spacing w:line="520" w:lineRule="exact"/>
        <w:rPr>
          <w:rFonts w:ascii="仿宋" w:hAnsi="仿宋" w:eastAsia="仿宋" w:cs="仿宋"/>
          <w:color w:val="auto"/>
          <w:sz w:val="32"/>
          <w:szCs w:val="32"/>
        </w:rPr>
        <w:sectPr>
          <w:footerReference r:id="rId3" w:type="default"/>
          <w:pgSz w:w="11906" w:h="16838"/>
          <w:pgMar w:top="1701" w:right="1134" w:bottom="1134" w:left="1474" w:header="851" w:footer="992" w:gutter="0"/>
          <w:cols w:space="425" w:num="1"/>
          <w:docGrid w:type="lines" w:linePitch="312" w:charSpace="0"/>
        </w:sectPr>
      </w:pPr>
    </w:p>
    <w:p>
      <w:pPr>
        <w:adjustRightInd w:val="0"/>
        <w:snapToGrid w:val="0"/>
        <w:spacing w:line="560" w:lineRule="exact"/>
        <w:outlineLvl w:val="0"/>
        <w:rPr>
          <w:rFonts w:ascii="仿宋" w:hAnsi="仿宋" w:eastAsia="仿宋" w:cs="仿宋"/>
          <w:color w:val="auto"/>
          <w:sz w:val="32"/>
          <w:szCs w:val="32"/>
        </w:rPr>
      </w:pPr>
      <w:bookmarkStart w:id="24" w:name="_Toc6344"/>
      <w:bookmarkStart w:id="25" w:name="_Toc6389"/>
      <w:r>
        <w:rPr>
          <w:rFonts w:hint="eastAsia" w:ascii="仿宋" w:hAnsi="仿宋" w:eastAsia="仿宋" w:cs="仿宋"/>
          <w:color w:val="auto"/>
          <w:sz w:val="32"/>
          <w:szCs w:val="32"/>
        </w:rPr>
        <w:t>附件2</w:t>
      </w:r>
      <w:bookmarkEnd w:id="24"/>
      <w:bookmarkEnd w:id="25"/>
      <w:r>
        <w:rPr>
          <w:rFonts w:hint="eastAsia" w:ascii="仿宋" w:hAnsi="仿宋" w:eastAsia="仿宋" w:cs="仿宋"/>
          <w:color w:val="auto"/>
          <w:sz w:val="32"/>
          <w:szCs w:val="32"/>
        </w:rPr>
        <w:t xml:space="preserve"> </w:t>
      </w:r>
    </w:p>
    <w:p>
      <w:pPr>
        <w:adjustRightInd w:val="0"/>
        <w:snapToGrid w:val="0"/>
        <w:spacing w:line="560" w:lineRule="exact"/>
        <w:jc w:val="center"/>
        <w:rPr>
          <w:rFonts w:ascii="仿宋" w:hAnsi="仿宋" w:eastAsia="仿宋" w:cs="仿宋"/>
          <w:color w:val="auto"/>
          <w:sz w:val="44"/>
          <w:szCs w:val="44"/>
        </w:rPr>
      </w:pPr>
    </w:p>
    <w:p>
      <w:pPr>
        <w:adjustRightInd w:val="0"/>
        <w:snapToGrid w:val="0"/>
        <w:spacing w:line="560" w:lineRule="exact"/>
        <w:jc w:val="center"/>
        <w:outlineLvl w:val="0"/>
        <w:rPr>
          <w:rFonts w:ascii="仿宋" w:hAnsi="仿宋" w:eastAsia="仿宋" w:cs="仿宋"/>
          <w:color w:val="auto"/>
          <w:sz w:val="44"/>
          <w:szCs w:val="44"/>
        </w:rPr>
      </w:pPr>
      <w:bookmarkStart w:id="26" w:name="_Toc386"/>
      <w:bookmarkStart w:id="27" w:name="_Toc6559"/>
      <w:r>
        <w:rPr>
          <w:rFonts w:hint="eastAsia" w:ascii="仿宋" w:hAnsi="仿宋" w:eastAsia="仿宋" w:cs="仿宋"/>
          <w:color w:val="auto"/>
          <w:sz w:val="44"/>
          <w:szCs w:val="44"/>
        </w:rPr>
        <w:t>法定代表人授权委托书</w:t>
      </w:r>
      <w:bookmarkEnd w:id="26"/>
      <w:bookmarkEnd w:id="27"/>
    </w:p>
    <w:p>
      <w:pPr>
        <w:adjustRightInd w:val="0"/>
        <w:snapToGrid w:val="0"/>
        <w:spacing w:line="560" w:lineRule="exact"/>
        <w:rPr>
          <w:rFonts w:ascii="仿宋" w:hAnsi="仿宋" w:eastAsia="仿宋" w:cs="仿宋"/>
          <w:color w:val="auto"/>
          <w:sz w:val="32"/>
          <w:szCs w:val="32"/>
        </w:rPr>
      </w:pPr>
    </w:p>
    <w:p>
      <w:pPr>
        <w:adjustRightInd w:val="0"/>
        <w:snapToGrid w:val="0"/>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本授权委托书声明：我</w:t>
      </w:r>
      <w:r>
        <w:rPr>
          <w:rFonts w:hint="eastAsia" w:ascii="仿宋" w:hAnsi="仿宋" w:eastAsia="仿宋" w:cs="仿宋"/>
          <w:color w:val="auto"/>
          <w:sz w:val="32"/>
          <w:szCs w:val="32"/>
          <w:u w:val="single"/>
        </w:rPr>
        <w:t xml:space="preserve">   （姓名）</w:t>
      </w: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（响应人）    </w:t>
      </w:r>
      <w:r>
        <w:rPr>
          <w:rFonts w:hint="eastAsia" w:ascii="仿宋" w:hAnsi="仿宋" w:eastAsia="仿宋" w:cs="仿宋"/>
          <w:color w:val="auto"/>
          <w:sz w:val="32"/>
          <w:szCs w:val="32"/>
        </w:rPr>
        <w:t>的法定代表人，现授权委托</w:t>
      </w:r>
      <w:r>
        <w:rPr>
          <w:rFonts w:hint="eastAsia" w:ascii="仿宋" w:hAnsi="仿宋" w:eastAsia="仿宋" w:cs="仿宋"/>
          <w:color w:val="auto"/>
          <w:sz w:val="32"/>
          <w:szCs w:val="32"/>
          <w:u w:val="single"/>
        </w:rPr>
        <w:t xml:space="preserve"> （姓名）       </w:t>
      </w:r>
      <w:r>
        <w:rPr>
          <w:rFonts w:hint="eastAsia" w:ascii="仿宋" w:hAnsi="仿宋" w:eastAsia="仿宋" w:cs="仿宋"/>
          <w:color w:val="auto"/>
          <w:sz w:val="32"/>
          <w:szCs w:val="32"/>
        </w:rPr>
        <w:t>为我的代理人，以本公司/单位的名义参加</w:t>
      </w:r>
      <w:r>
        <w:rPr>
          <w:rFonts w:hint="eastAsia" w:ascii="仿宋" w:hAnsi="仿宋" w:eastAsia="仿宋" w:cs="仿宋"/>
          <w:color w:val="auto"/>
          <w:sz w:val="32"/>
          <w:szCs w:val="32"/>
          <w:u w:val="single"/>
        </w:rPr>
        <w:t xml:space="preserve">   （采购人） </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xml:space="preserve"> （项目名称）      </w:t>
      </w:r>
      <w:r>
        <w:rPr>
          <w:rFonts w:hint="eastAsia" w:ascii="仿宋" w:hAnsi="仿宋" w:eastAsia="仿宋" w:cs="仿宋"/>
          <w:color w:val="auto"/>
          <w:sz w:val="32"/>
          <w:szCs w:val="32"/>
        </w:rPr>
        <w:t>的公开遴选。授权委托人在公开遴选、合同谈判过程中所签署的一切文件和处理与之有关的一切事务，我均予以承认。</w:t>
      </w:r>
    </w:p>
    <w:p>
      <w:pPr>
        <w:adjustRightInd w:val="0"/>
        <w:snapToGrid w:val="0"/>
        <w:spacing w:line="560" w:lineRule="exact"/>
        <w:rPr>
          <w:rFonts w:ascii="仿宋" w:hAnsi="仿宋" w:eastAsia="仿宋" w:cs="仿宋"/>
          <w:color w:val="auto"/>
          <w:sz w:val="32"/>
          <w:szCs w:val="32"/>
        </w:rPr>
      </w:pPr>
      <w:r>
        <w:rPr>
          <w:rFonts w:hint="eastAsia" w:ascii="仿宋" w:hAnsi="仿宋" w:eastAsia="仿宋" w:cs="仿宋"/>
          <w:color w:val="auto"/>
          <w:sz w:val="32"/>
          <w:szCs w:val="32"/>
        </w:rPr>
        <w:t xml:space="preserve">    代理人无转委托权，特此委托。</w:t>
      </w:r>
    </w:p>
    <w:p>
      <w:pPr>
        <w:adjustRightInd w:val="0"/>
        <w:snapToGrid w:val="0"/>
        <w:spacing w:line="560" w:lineRule="exact"/>
        <w:rPr>
          <w:rFonts w:ascii="仿宋" w:hAnsi="仿宋" w:eastAsia="仿宋" w:cs="仿宋"/>
          <w:color w:val="auto"/>
          <w:sz w:val="32"/>
          <w:szCs w:val="32"/>
        </w:rPr>
      </w:pPr>
      <w:r>
        <w:rPr>
          <w:rFonts w:hint="eastAsia" w:ascii="仿宋" w:hAnsi="仿宋" w:eastAsia="仿宋" w:cs="仿宋"/>
          <w:color w:val="auto"/>
          <w:sz w:val="32"/>
          <w:szCs w:val="32"/>
        </w:rPr>
        <w:t xml:space="preserve">    供应商（盖章）：                                   </w:t>
      </w:r>
    </w:p>
    <w:p>
      <w:pPr>
        <w:adjustRightInd w:val="0"/>
        <w:snapToGrid w:val="0"/>
        <w:spacing w:line="560" w:lineRule="exact"/>
        <w:rPr>
          <w:rFonts w:ascii="仿宋" w:hAnsi="仿宋" w:eastAsia="仿宋" w:cs="仿宋"/>
          <w:color w:val="auto"/>
          <w:sz w:val="32"/>
          <w:szCs w:val="32"/>
        </w:rPr>
      </w:pPr>
      <w:r>
        <w:rPr>
          <w:rFonts w:hint="eastAsia" w:ascii="仿宋" w:hAnsi="仿宋" w:eastAsia="仿宋" w:cs="仿宋"/>
          <w:color w:val="auto"/>
          <w:sz w:val="32"/>
          <w:szCs w:val="32"/>
        </w:rPr>
        <w:t xml:space="preserve">    法定代表人（盖章/签字）：                               </w:t>
      </w:r>
    </w:p>
    <w:p>
      <w:pPr>
        <w:adjustRightInd w:val="0"/>
        <w:snapToGrid w:val="0"/>
        <w:spacing w:line="560" w:lineRule="exact"/>
        <w:rPr>
          <w:rFonts w:ascii="仿宋" w:hAnsi="仿宋" w:eastAsia="仿宋" w:cs="仿宋"/>
          <w:color w:val="auto"/>
          <w:sz w:val="32"/>
          <w:szCs w:val="32"/>
          <w:u w:val="single"/>
        </w:rPr>
      </w:pPr>
      <w:r>
        <w:rPr>
          <w:rFonts w:hint="eastAsia" w:ascii="仿宋" w:hAnsi="仿宋" w:eastAsia="仿宋" w:cs="仿宋"/>
          <w:color w:val="auto"/>
          <w:sz w:val="32"/>
          <w:szCs w:val="32"/>
        </w:rPr>
        <w:t xml:space="preserve">    代理人：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性别：</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年龄：</w:t>
      </w:r>
      <w:r>
        <w:rPr>
          <w:rFonts w:hint="eastAsia" w:ascii="仿宋" w:hAnsi="仿宋" w:eastAsia="仿宋" w:cs="仿宋"/>
          <w:color w:val="auto"/>
          <w:sz w:val="32"/>
          <w:szCs w:val="32"/>
          <w:u w:val="single"/>
        </w:rPr>
        <w:t xml:space="preserve">        </w:t>
      </w:r>
    </w:p>
    <w:p>
      <w:pPr>
        <w:adjustRightInd w:val="0"/>
        <w:snapToGrid w:val="0"/>
        <w:spacing w:line="560" w:lineRule="exact"/>
        <w:rPr>
          <w:rFonts w:ascii="仿宋" w:hAnsi="仿宋" w:eastAsia="仿宋" w:cs="仿宋"/>
          <w:color w:val="auto"/>
          <w:sz w:val="32"/>
          <w:szCs w:val="32"/>
        </w:rPr>
      </w:pPr>
      <w:r>
        <w:rPr>
          <w:rFonts w:hint="eastAsia" w:ascii="仿宋" w:hAnsi="仿宋" w:eastAsia="仿宋" w:cs="仿宋"/>
          <w:color w:val="auto"/>
          <w:sz w:val="32"/>
          <w:szCs w:val="32"/>
        </w:rPr>
        <w:t xml:space="preserve">    身份证号码：</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职务：</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w:t>
      </w:r>
    </w:p>
    <w:p>
      <w:pPr>
        <w:adjustRightInd w:val="0"/>
        <w:snapToGrid w:val="0"/>
        <w:spacing w:line="560" w:lineRule="exact"/>
        <w:rPr>
          <w:rFonts w:ascii="仿宋" w:hAnsi="仿宋" w:eastAsia="仿宋" w:cs="仿宋"/>
          <w:color w:val="auto"/>
          <w:sz w:val="32"/>
          <w:szCs w:val="32"/>
        </w:rPr>
      </w:pPr>
      <w:r>
        <w:rPr>
          <w:rFonts w:hint="eastAsia" w:ascii="仿宋" w:hAnsi="仿宋" w:eastAsia="仿宋" w:cs="仿宋"/>
          <w:color w:val="auto"/>
          <w:sz w:val="32"/>
          <w:szCs w:val="32"/>
        </w:rPr>
        <w:t xml:space="preserve">    授权委托有效期：    年   月  日 至    年   月  日 </w:t>
      </w:r>
    </w:p>
    <w:tbl>
      <w:tblPr>
        <w:tblStyle w:val="12"/>
        <w:tblW w:w="0" w:type="auto"/>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2" w:hRule="atLeast"/>
        </w:trPr>
        <w:tc>
          <w:tcPr>
            <w:tcW w:w="8449" w:type="dxa"/>
          </w:tcPr>
          <w:p>
            <w:pPr>
              <w:adjustRightInd w:val="0"/>
              <w:snapToGrid w:val="0"/>
              <w:spacing w:line="400" w:lineRule="exact"/>
              <w:rPr>
                <w:rFonts w:ascii="仿宋" w:hAnsi="仿宋" w:eastAsia="仿宋" w:cs="仿宋"/>
                <w:color w:val="auto"/>
                <w:sz w:val="21"/>
                <w:szCs w:val="21"/>
              </w:rPr>
            </w:pPr>
            <w:r>
              <w:rPr>
                <w:rFonts w:hint="eastAsia" w:ascii="仿宋" w:hAnsi="仿宋" w:eastAsia="仿宋" w:cs="仿宋"/>
                <w:color w:val="auto"/>
                <w:sz w:val="32"/>
                <w:szCs w:val="32"/>
              </w:rPr>
              <w:t>粘贴法定代表人和被授权人身份证（复印件）</w:t>
            </w:r>
          </w:p>
        </w:tc>
      </w:tr>
    </w:tbl>
    <w:p>
      <w:pPr>
        <w:rPr>
          <w:rFonts w:ascii="仿宋" w:hAnsi="仿宋" w:eastAsia="仿宋" w:cs="仿宋"/>
          <w:color w:val="auto"/>
        </w:rPr>
      </w:pPr>
    </w:p>
    <w:p>
      <w:pPr>
        <w:pStyle w:val="14"/>
        <w:ind w:firstLine="320"/>
        <w:rPr>
          <w:rFonts w:ascii="仿宋" w:hAnsi="仿宋" w:eastAsia="仿宋" w:cs="仿宋"/>
          <w:color w:val="auto"/>
        </w:rPr>
        <w:sectPr>
          <w:pgSz w:w="11906" w:h="16838"/>
          <w:pgMar w:top="1701" w:right="1134" w:bottom="1134" w:left="1474" w:header="851" w:footer="992" w:gutter="0"/>
          <w:cols w:space="425" w:num="1"/>
          <w:docGrid w:type="lines" w:linePitch="312" w:charSpace="0"/>
        </w:sectPr>
      </w:pPr>
    </w:p>
    <w:p>
      <w:pPr>
        <w:adjustRightInd w:val="0"/>
        <w:snapToGrid w:val="0"/>
        <w:spacing w:line="400" w:lineRule="exact"/>
        <w:outlineLvl w:val="0"/>
        <w:rPr>
          <w:rFonts w:ascii="仿宋" w:hAnsi="仿宋" w:eastAsia="仿宋" w:cs="仿宋"/>
          <w:color w:val="auto"/>
          <w:sz w:val="32"/>
          <w:szCs w:val="32"/>
        </w:rPr>
      </w:pPr>
      <w:bookmarkStart w:id="28" w:name="_Toc6225"/>
      <w:bookmarkStart w:id="29" w:name="_Toc4823"/>
      <w:r>
        <w:rPr>
          <w:rFonts w:hint="eastAsia" w:ascii="仿宋" w:hAnsi="仿宋" w:eastAsia="仿宋" w:cs="仿宋"/>
          <w:color w:val="auto"/>
          <w:sz w:val="32"/>
          <w:szCs w:val="32"/>
        </w:rPr>
        <w:t>附件3</w:t>
      </w:r>
      <w:bookmarkEnd w:id="28"/>
      <w:bookmarkEnd w:id="29"/>
    </w:p>
    <w:p>
      <w:pPr>
        <w:adjustRightInd w:val="0"/>
        <w:snapToGrid w:val="0"/>
        <w:spacing w:line="400" w:lineRule="exact"/>
        <w:rPr>
          <w:rFonts w:ascii="仿宋" w:hAnsi="仿宋" w:eastAsia="仿宋" w:cs="仿宋"/>
          <w:color w:val="auto"/>
          <w:sz w:val="21"/>
          <w:szCs w:val="21"/>
        </w:rPr>
      </w:pPr>
    </w:p>
    <w:p>
      <w:pPr>
        <w:adjustRightInd w:val="0"/>
        <w:snapToGrid w:val="0"/>
        <w:spacing w:line="560" w:lineRule="exact"/>
        <w:jc w:val="center"/>
        <w:rPr>
          <w:rFonts w:ascii="仿宋" w:hAnsi="仿宋" w:eastAsia="仿宋" w:cs="仿宋"/>
          <w:color w:val="auto"/>
          <w:sz w:val="44"/>
          <w:szCs w:val="44"/>
        </w:rPr>
      </w:pPr>
      <w:r>
        <w:rPr>
          <w:rFonts w:hint="eastAsia" w:ascii="仿宋" w:hAnsi="仿宋" w:eastAsia="仿宋" w:cs="仿宋"/>
          <w:color w:val="auto"/>
          <w:sz w:val="44"/>
          <w:szCs w:val="44"/>
        </w:rPr>
        <w:t>承 诺 书</w:t>
      </w:r>
    </w:p>
    <w:p>
      <w:pPr>
        <w:adjustRightInd w:val="0"/>
        <w:snapToGrid w:val="0"/>
        <w:spacing w:line="560" w:lineRule="exact"/>
        <w:rPr>
          <w:rFonts w:ascii="仿宋" w:hAnsi="仿宋" w:eastAsia="仿宋" w:cs="仿宋"/>
          <w:color w:val="auto"/>
          <w:sz w:val="32"/>
          <w:szCs w:val="32"/>
        </w:rPr>
      </w:pPr>
    </w:p>
    <w:p>
      <w:pPr>
        <w:adjustRightInd w:val="0"/>
        <w:snapToGrid w:val="0"/>
        <w:spacing w:line="560" w:lineRule="exact"/>
        <w:rPr>
          <w:rFonts w:ascii="仿宋" w:hAnsi="仿宋" w:eastAsia="仿宋" w:cs="仿宋"/>
          <w:color w:val="auto"/>
          <w:sz w:val="32"/>
          <w:szCs w:val="32"/>
        </w:rPr>
      </w:pPr>
      <w:r>
        <w:rPr>
          <w:rFonts w:hint="eastAsia" w:ascii="仿宋" w:hAnsi="仿宋" w:eastAsia="仿宋" w:cs="仿宋"/>
          <w:color w:val="auto"/>
          <w:sz w:val="32"/>
          <w:szCs w:val="32"/>
        </w:rPr>
        <w:t>黄石市城发矿业有限公司：</w:t>
      </w:r>
    </w:p>
    <w:p>
      <w:pPr>
        <w:adjustRightInd w:val="0"/>
        <w:snapToGrid w:val="0"/>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贵公司在该</w:t>
      </w:r>
      <w:r>
        <w:rPr>
          <w:rFonts w:hint="eastAsia" w:ascii="仿宋" w:hAnsi="仿宋" w:eastAsia="仿宋" w:cs="仿宋"/>
          <w:color w:val="auto"/>
          <w:sz w:val="32"/>
          <w:szCs w:val="32"/>
          <w:lang w:val="en-US" w:eastAsia="zh-CN"/>
        </w:rPr>
        <w:t>公开遴选</w:t>
      </w:r>
      <w:r>
        <w:rPr>
          <w:rFonts w:hint="eastAsia" w:ascii="仿宋" w:hAnsi="仿宋" w:eastAsia="仿宋" w:cs="仿宋"/>
          <w:color w:val="auto"/>
          <w:sz w:val="32"/>
          <w:szCs w:val="32"/>
        </w:rPr>
        <w:t>公告所约定的“</w:t>
      </w:r>
      <w:r>
        <w:rPr>
          <w:rFonts w:hint="eastAsia" w:ascii="仿宋" w:hAnsi="仿宋" w:eastAsia="仿宋" w:cs="仿宋"/>
          <w:color w:val="auto"/>
          <w:sz w:val="32"/>
          <w:szCs w:val="32"/>
          <w:lang w:val="en-US" w:eastAsia="zh-CN"/>
        </w:rPr>
        <w:t>采购需求</w:t>
      </w:r>
      <w:r>
        <w:rPr>
          <w:rFonts w:hint="eastAsia" w:ascii="仿宋" w:hAnsi="仿宋" w:eastAsia="仿宋" w:cs="仿宋"/>
          <w:color w:val="auto"/>
          <w:sz w:val="32"/>
          <w:szCs w:val="32"/>
        </w:rPr>
        <w:t>”及“</w:t>
      </w:r>
      <w:r>
        <w:rPr>
          <w:rFonts w:hint="eastAsia" w:ascii="仿宋" w:hAnsi="仿宋" w:eastAsia="仿宋" w:cs="仿宋"/>
          <w:color w:val="auto"/>
          <w:sz w:val="32"/>
          <w:szCs w:val="32"/>
          <w:lang w:val="en-US" w:eastAsia="zh-CN"/>
        </w:rPr>
        <w:t>资格条件</w:t>
      </w:r>
      <w:r>
        <w:rPr>
          <w:rFonts w:hint="eastAsia" w:ascii="仿宋" w:hAnsi="仿宋" w:eastAsia="仿宋" w:cs="仿宋"/>
          <w:color w:val="auto"/>
          <w:sz w:val="32"/>
          <w:szCs w:val="32"/>
        </w:rPr>
        <w:t>”，本公司已知悉且完全可满足服务要求，并承诺在贵公司要求的时限内及时提供相关服务和取得相应成果，如有虚假承诺，本公司愿承担一切责任。</w:t>
      </w:r>
    </w:p>
    <w:p>
      <w:pPr>
        <w:adjustRightInd w:val="0"/>
        <w:snapToGrid w:val="0"/>
        <w:spacing w:line="560" w:lineRule="exact"/>
        <w:rPr>
          <w:rFonts w:ascii="仿宋" w:hAnsi="仿宋" w:eastAsia="仿宋" w:cs="仿宋"/>
          <w:color w:val="auto"/>
          <w:sz w:val="32"/>
          <w:szCs w:val="32"/>
        </w:rPr>
      </w:pPr>
    </w:p>
    <w:p>
      <w:pPr>
        <w:adjustRightInd w:val="0"/>
        <w:snapToGrid w:val="0"/>
        <w:spacing w:line="560" w:lineRule="exact"/>
        <w:rPr>
          <w:rFonts w:ascii="仿宋" w:hAnsi="仿宋" w:eastAsia="仿宋" w:cs="仿宋"/>
          <w:color w:val="auto"/>
          <w:sz w:val="32"/>
          <w:szCs w:val="32"/>
        </w:rPr>
      </w:pPr>
      <w:r>
        <w:rPr>
          <w:rFonts w:hint="eastAsia" w:ascii="仿宋" w:hAnsi="仿宋" w:eastAsia="仿宋" w:cs="仿宋"/>
          <w:color w:val="auto"/>
          <w:sz w:val="32"/>
          <w:szCs w:val="32"/>
        </w:rPr>
        <w:t xml:space="preserve">                             承诺人（盖章）：</w:t>
      </w:r>
    </w:p>
    <w:p>
      <w:pPr>
        <w:adjustRightInd w:val="0"/>
        <w:snapToGrid w:val="0"/>
        <w:spacing w:line="560" w:lineRule="exact"/>
        <w:rPr>
          <w:rFonts w:ascii="仿宋" w:hAnsi="仿宋" w:eastAsia="仿宋" w:cs="仿宋"/>
          <w:color w:val="auto"/>
          <w:sz w:val="32"/>
          <w:szCs w:val="32"/>
        </w:rPr>
      </w:pPr>
    </w:p>
    <w:p>
      <w:pPr>
        <w:adjustRightInd w:val="0"/>
        <w:snapToGrid w:val="0"/>
        <w:spacing w:line="560" w:lineRule="exact"/>
        <w:rPr>
          <w:rFonts w:ascii="仿宋" w:hAnsi="仿宋" w:eastAsia="仿宋" w:cs="仿宋"/>
          <w:color w:val="auto"/>
          <w:sz w:val="32"/>
          <w:szCs w:val="32"/>
        </w:rPr>
      </w:pPr>
      <w:r>
        <w:rPr>
          <w:rFonts w:hint="eastAsia" w:ascii="仿宋" w:hAnsi="仿宋" w:eastAsia="仿宋" w:cs="仿宋"/>
          <w:color w:val="auto"/>
          <w:sz w:val="32"/>
          <w:szCs w:val="32"/>
        </w:rPr>
        <w:t xml:space="preserve">                            承诺时间：   年  月   日</w:t>
      </w:r>
    </w:p>
    <w:p>
      <w:pPr>
        <w:pStyle w:val="14"/>
        <w:ind w:firstLine="320"/>
        <w:rPr>
          <w:rFonts w:ascii="仿宋" w:hAnsi="仿宋" w:eastAsia="仿宋" w:cs="仿宋"/>
          <w:color w:val="auto"/>
        </w:rPr>
      </w:pPr>
    </w:p>
    <w:p>
      <w:pPr>
        <w:rPr>
          <w:rFonts w:ascii="仿宋" w:hAnsi="仿宋" w:eastAsia="仿宋" w:cs="仿宋"/>
          <w:color w:val="auto"/>
        </w:rPr>
      </w:pPr>
    </w:p>
    <w:p>
      <w:pPr>
        <w:pStyle w:val="2"/>
        <w:rPr>
          <w:rFonts w:ascii="仿宋" w:hAnsi="仿宋" w:eastAsia="仿宋" w:cs="仿宋"/>
          <w:color w:val="auto"/>
        </w:rPr>
      </w:pPr>
    </w:p>
    <w:p>
      <w:pPr>
        <w:rPr>
          <w:rFonts w:ascii="仿宋" w:hAnsi="仿宋" w:eastAsia="仿宋" w:cs="仿宋"/>
          <w:color w:val="auto"/>
        </w:rPr>
      </w:pPr>
    </w:p>
    <w:p>
      <w:pPr>
        <w:pStyle w:val="2"/>
        <w:rPr>
          <w:rFonts w:ascii="仿宋" w:hAnsi="仿宋" w:eastAsia="仿宋" w:cs="仿宋"/>
          <w:color w:val="auto"/>
        </w:rPr>
      </w:pPr>
    </w:p>
    <w:p>
      <w:pPr>
        <w:rPr>
          <w:rFonts w:ascii="仿宋" w:hAnsi="仿宋" w:eastAsia="仿宋" w:cs="仿宋"/>
          <w:color w:val="auto"/>
        </w:rPr>
      </w:pPr>
    </w:p>
    <w:p>
      <w:pPr>
        <w:pStyle w:val="2"/>
        <w:rPr>
          <w:rFonts w:ascii="仿宋" w:hAnsi="仿宋" w:eastAsia="仿宋" w:cs="仿宋"/>
          <w:color w:val="auto"/>
        </w:rPr>
      </w:pPr>
    </w:p>
    <w:p>
      <w:pPr>
        <w:rPr>
          <w:rFonts w:ascii="仿宋" w:hAnsi="仿宋" w:eastAsia="仿宋" w:cs="仿宋"/>
          <w:color w:val="auto"/>
        </w:rPr>
      </w:pPr>
    </w:p>
    <w:p>
      <w:pPr>
        <w:pStyle w:val="2"/>
        <w:rPr>
          <w:rFonts w:ascii="仿宋" w:hAnsi="仿宋" w:eastAsia="仿宋" w:cs="仿宋"/>
          <w:color w:val="auto"/>
        </w:rPr>
      </w:pPr>
    </w:p>
    <w:p>
      <w:pPr>
        <w:rPr>
          <w:rFonts w:ascii="仿宋" w:hAnsi="仿宋" w:eastAsia="仿宋" w:cs="仿宋"/>
          <w:color w:val="auto"/>
        </w:rPr>
      </w:pPr>
    </w:p>
    <w:p>
      <w:pPr>
        <w:pStyle w:val="2"/>
        <w:rPr>
          <w:rFonts w:ascii="仿宋" w:hAnsi="仿宋" w:eastAsia="仿宋" w:cs="仿宋"/>
          <w:color w:val="auto"/>
        </w:rPr>
      </w:pPr>
    </w:p>
    <w:p>
      <w:pPr>
        <w:rPr>
          <w:rFonts w:ascii="仿宋" w:hAnsi="仿宋" w:eastAsia="仿宋" w:cs="仿宋"/>
          <w:color w:val="auto"/>
        </w:rPr>
      </w:pPr>
    </w:p>
    <w:p>
      <w:pPr>
        <w:pStyle w:val="2"/>
        <w:rPr>
          <w:rFonts w:ascii="仿宋" w:hAnsi="仿宋" w:eastAsia="仿宋" w:cs="仿宋"/>
          <w:color w:val="auto"/>
        </w:rPr>
      </w:pPr>
    </w:p>
    <w:p>
      <w:pPr>
        <w:rPr>
          <w:rFonts w:ascii="仿宋" w:hAnsi="仿宋" w:eastAsia="仿宋" w:cs="仿宋"/>
          <w:color w:val="auto"/>
        </w:rPr>
      </w:pPr>
    </w:p>
    <w:p>
      <w:pPr>
        <w:pStyle w:val="2"/>
        <w:rPr>
          <w:rFonts w:ascii="仿宋" w:hAnsi="仿宋" w:eastAsia="仿宋" w:cs="仿宋"/>
          <w:color w:val="auto"/>
        </w:rPr>
      </w:pPr>
    </w:p>
    <w:p>
      <w:pPr>
        <w:rPr>
          <w:rFonts w:ascii="仿宋" w:hAnsi="仿宋" w:eastAsia="仿宋" w:cs="仿宋"/>
          <w:color w:val="auto"/>
        </w:rPr>
      </w:pPr>
    </w:p>
    <w:p>
      <w:pPr>
        <w:pStyle w:val="2"/>
        <w:rPr>
          <w:rFonts w:ascii="仿宋" w:hAnsi="仿宋" w:eastAsia="仿宋" w:cs="仿宋"/>
          <w:color w:val="auto"/>
        </w:rPr>
      </w:pPr>
    </w:p>
    <w:p>
      <w:pPr>
        <w:adjustRightInd w:val="0"/>
        <w:snapToGrid w:val="0"/>
        <w:spacing w:line="520" w:lineRule="exact"/>
        <w:jc w:val="center"/>
        <w:rPr>
          <w:rFonts w:ascii="仿宋" w:hAnsi="仿宋" w:eastAsia="仿宋" w:cs="仿宋"/>
          <w:color w:val="auto"/>
          <w:sz w:val="44"/>
          <w:szCs w:val="44"/>
        </w:rPr>
      </w:pPr>
      <w:bookmarkStart w:id="30" w:name="_Toc15296"/>
      <w:r>
        <w:rPr>
          <w:rFonts w:hint="eastAsia" w:ascii="仿宋" w:hAnsi="仿宋" w:eastAsia="仿宋" w:cs="仿宋"/>
          <w:color w:val="auto"/>
          <w:sz w:val="44"/>
          <w:szCs w:val="44"/>
        </w:rPr>
        <w:t>评 标 办 法</w:t>
      </w:r>
      <w:bookmarkEnd w:id="30"/>
    </w:p>
    <w:p>
      <w:pPr>
        <w:spacing w:line="360" w:lineRule="auto"/>
        <w:outlineLvl w:val="0"/>
        <w:rPr>
          <w:rFonts w:ascii="仿宋" w:hAnsi="仿宋" w:eastAsia="仿宋" w:cs="仿宋"/>
          <w:bCs/>
          <w:color w:val="auto"/>
        </w:rPr>
      </w:pPr>
    </w:p>
    <w:p>
      <w:pPr>
        <w:spacing w:line="560" w:lineRule="exact"/>
        <w:ind w:left="480" w:leftChars="200"/>
        <w:jc w:val="left"/>
        <w:rPr>
          <w:rFonts w:ascii="仿宋" w:hAnsi="仿宋" w:eastAsia="仿宋" w:cs="仿宋"/>
          <w:color w:val="auto"/>
          <w:sz w:val="32"/>
          <w:szCs w:val="32"/>
        </w:rPr>
      </w:pPr>
      <w:r>
        <w:rPr>
          <w:rFonts w:hint="eastAsia" w:ascii="仿宋" w:hAnsi="仿宋" w:eastAsia="仿宋" w:cs="仿宋"/>
          <w:color w:val="auto"/>
          <w:sz w:val="32"/>
          <w:szCs w:val="32"/>
        </w:rPr>
        <w:t>一、资格审查合格标准</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 xml:space="preserve">本招标项目采用资格后审方式，资格审查将采取合格/不合格制。 </w:t>
      </w:r>
    </w:p>
    <w:p>
      <w:pPr>
        <w:spacing w:before="8"/>
        <w:rPr>
          <w:rFonts w:ascii="仿宋" w:hAnsi="仿宋" w:eastAsia="仿宋" w:cs="仿宋"/>
          <w:b/>
          <w:bCs/>
          <w:color w:val="auto"/>
          <w:sz w:val="4"/>
          <w:szCs w:val="4"/>
        </w:rPr>
      </w:pPr>
    </w:p>
    <w:tbl>
      <w:tblPr>
        <w:tblStyle w:val="17"/>
        <w:tblW w:w="8647" w:type="dxa"/>
        <w:tblInd w:w="289" w:type="dxa"/>
        <w:tblLayout w:type="fixed"/>
        <w:tblCellMar>
          <w:top w:w="0" w:type="dxa"/>
          <w:left w:w="0" w:type="dxa"/>
          <w:bottom w:w="0" w:type="dxa"/>
          <w:right w:w="0" w:type="dxa"/>
        </w:tblCellMar>
      </w:tblPr>
      <w:tblGrid>
        <w:gridCol w:w="850"/>
        <w:gridCol w:w="5684"/>
        <w:gridCol w:w="2113"/>
      </w:tblGrid>
      <w:tr>
        <w:tblPrEx>
          <w:tblCellMar>
            <w:top w:w="0" w:type="dxa"/>
            <w:left w:w="0" w:type="dxa"/>
            <w:bottom w:w="0" w:type="dxa"/>
            <w:right w:w="0" w:type="dxa"/>
          </w:tblCellMar>
        </w:tblPrEx>
        <w:trPr>
          <w:trHeight w:val="563" w:hRule="exact"/>
        </w:trPr>
        <w:tc>
          <w:tcPr>
            <w:tcW w:w="850" w:type="dxa"/>
            <w:tcBorders>
              <w:top w:val="single" w:color="000000" w:sz="4" w:space="0"/>
              <w:left w:val="single" w:color="000000" w:sz="4" w:space="0"/>
              <w:bottom w:val="single" w:color="000000" w:sz="4" w:space="0"/>
              <w:right w:val="single" w:color="000000" w:sz="4" w:space="0"/>
            </w:tcBorders>
            <w:vAlign w:val="center"/>
          </w:tcPr>
          <w:p>
            <w:pPr>
              <w:pStyle w:val="16"/>
              <w:spacing w:line="253" w:lineRule="exact"/>
              <w:ind w:left="200"/>
              <w:jc w:val="center"/>
              <w:rPr>
                <w:rFonts w:ascii="仿宋" w:hAnsi="仿宋" w:eastAsia="仿宋" w:cs="仿宋"/>
                <w:color w:val="auto"/>
                <w:sz w:val="21"/>
                <w:szCs w:val="21"/>
              </w:rPr>
            </w:pPr>
            <w:r>
              <w:rPr>
                <w:rFonts w:hint="eastAsia" w:ascii="仿宋" w:hAnsi="仿宋" w:eastAsia="仿宋" w:cs="仿宋"/>
                <w:b/>
                <w:bCs/>
                <w:color w:val="auto"/>
                <w:sz w:val="21"/>
                <w:szCs w:val="21"/>
              </w:rPr>
              <w:t>序号</w:t>
            </w:r>
          </w:p>
        </w:tc>
        <w:tc>
          <w:tcPr>
            <w:tcW w:w="5684" w:type="dxa"/>
            <w:tcBorders>
              <w:top w:val="single" w:color="000000" w:sz="4" w:space="0"/>
              <w:left w:val="single" w:color="000000" w:sz="4" w:space="0"/>
              <w:bottom w:val="single" w:color="000000" w:sz="4" w:space="0"/>
              <w:right w:val="single" w:color="000000" w:sz="4" w:space="0"/>
            </w:tcBorders>
            <w:vAlign w:val="center"/>
          </w:tcPr>
          <w:p>
            <w:pPr>
              <w:pStyle w:val="16"/>
              <w:tabs>
                <w:tab w:val="left" w:pos="557"/>
                <w:tab w:val="left" w:pos="1109"/>
                <w:tab w:val="left" w:pos="1551"/>
              </w:tabs>
              <w:spacing w:before="178"/>
              <w:ind w:left="5"/>
              <w:jc w:val="center"/>
              <w:rPr>
                <w:rFonts w:ascii="仿宋" w:hAnsi="仿宋" w:eastAsia="仿宋" w:cs="仿宋"/>
                <w:color w:val="auto"/>
                <w:sz w:val="21"/>
                <w:szCs w:val="21"/>
              </w:rPr>
            </w:pPr>
            <w:r>
              <w:rPr>
                <w:rFonts w:hint="eastAsia" w:ascii="仿宋" w:hAnsi="仿宋" w:eastAsia="仿宋" w:cs="仿宋"/>
                <w:b/>
                <w:bCs/>
                <w:color w:val="auto"/>
                <w:sz w:val="21"/>
                <w:szCs w:val="21"/>
              </w:rPr>
              <w:t>合</w:t>
            </w:r>
            <w:r>
              <w:rPr>
                <w:rFonts w:hint="eastAsia" w:ascii="仿宋" w:hAnsi="仿宋" w:eastAsia="仿宋" w:cs="仿宋"/>
                <w:b/>
                <w:bCs/>
                <w:color w:val="auto"/>
                <w:sz w:val="21"/>
                <w:szCs w:val="21"/>
              </w:rPr>
              <w:tab/>
            </w:r>
            <w:r>
              <w:rPr>
                <w:rFonts w:hint="eastAsia" w:ascii="仿宋" w:hAnsi="仿宋" w:eastAsia="仿宋" w:cs="仿宋"/>
                <w:b/>
                <w:bCs/>
                <w:color w:val="auto"/>
                <w:sz w:val="21"/>
                <w:szCs w:val="21"/>
              </w:rPr>
              <w:t>格</w:t>
            </w:r>
            <w:r>
              <w:rPr>
                <w:rFonts w:hint="eastAsia" w:ascii="仿宋" w:hAnsi="仿宋" w:eastAsia="仿宋" w:cs="仿宋"/>
                <w:b/>
                <w:bCs/>
                <w:color w:val="auto"/>
                <w:sz w:val="21"/>
                <w:szCs w:val="21"/>
              </w:rPr>
              <w:tab/>
            </w:r>
            <w:r>
              <w:rPr>
                <w:rFonts w:hint="eastAsia" w:ascii="仿宋" w:hAnsi="仿宋" w:eastAsia="仿宋" w:cs="仿宋"/>
                <w:b/>
                <w:bCs/>
                <w:color w:val="auto"/>
                <w:sz w:val="21"/>
                <w:szCs w:val="21"/>
              </w:rPr>
              <w:t>条</w:t>
            </w:r>
            <w:r>
              <w:rPr>
                <w:rFonts w:hint="eastAsia" w:ascii="仿宋" w:hAnsi="仿宋" w:eastAsia="仿宋" w:cs="仿宋"/>
                <w:b/>
                <w:bCs/>
                <w:color w:val="auto"/>
                <w:sz w:val="21"/>
                <w:szCs w:val="21"/>
              </w:rPr>
              <w:tab/>
            </w:r>
            <w:r>
              <w:rPr>
                <w:rFonts w:hint="eastAsia" w:ascii="仿宋" w:hAnsi="仿宋" w:eastAsia="仿宋" w:cs="仿宋"/>
                <w:b/>
                <w:bCs/>
                <w:color w:val="auto"/>
                <w:sz w:val="21"/>
                <w:szCs w:val="21"/>
              </w:rPr>
              <w:t>件</w:t>
            </w:r>
          </w:p>
        </w:tc>
        <w:tc>
          <w:tcPr>
            <w:tcW w:w="2113" w:type="dxa"/>
            <w:tcBorders>
              <w:top w:val="single" w:color="000000" w:sz="4" w:space="0"/>
              <w:left w:val="single" w:color="000000" w:sz="4" w:space="0"/>
              <w:bottom w:val="single" w:color="000000" w:sz="4" w:space="0"/>
              <w:right w:val="single" w:color="000000" w:sz="4" w:space="0"/>
            </w:tcBorders>
            <w:vAlign w:val="center"/>
          </w:tcPr>
          <w:p>
            <w:pPr>
              <w:pStyle w:val="16"/>
              <w:spacing w:line="253" w:lineRule="exact"/>
              <w:ind w:left="103"/>
              <w:jc w:val="center"/>
              <w:rPr>
                <w:rFonts w:ascii="仿宋" w:hAnsi="仿宋" w:eastAsia="仿宋" w:cs="仿宋"/>
                <w:color w:val="auto"/>
                <w:sz w:val="21"/>
                <w:szCs w:val="21"/>
                <w:lang w:eastAsia="zh-CN"/>
              </w:rPr>
            </w:pPr>
            <w:r>
              <w:rPr>
                <w:rFonts w:hint="eastAsia" w:ascii="仿宋" w:hAnsi="仿宋" w:eastAsia="仿宋" w:cs="仿宋"/>
                <w:b/>
                <w:bCs/>
                <w:color w:val="auto"/>
                <w:sz w:val="21"/>
                <w:szCs w:val="21"/>
                <w:lang w:eastAsia="zh-CN"/>
              </w:rPr>
              <w:t>投标人具备的条件或说明</w:t>
            </w:r>
          </w:p>
        </w:tc>
      </w:tr>
      <w:tr>
        <w:tblPrEx>
          <w:tblCellMar>
            <w:top w:w="0" w:type="dxa"/>
            <w:left w:w="0" w:type="dxa"/>
            <w:bottom w:w="0" w:type="dxa"/>
            <w:right w:w="0" w:type="dxa"/>
          </w:tblCellMar>
        </w:tblPrEx>
        <w:trPr>
          <w:trHeight w:val="994" w:hRule="exact"/>
        </w:trPr>
        <w:tc>
          <w:tcPr>
            <w:tcW w:w="850" w:type="dxa"/>
            <w:tcBorders>
              <w:top w:val="single" w:color="000000" w:sz="4" w:space="0"/>
              <w:left w:val="single" w:color="000000" w:sz="4" w:space="0"/>
              <w:bottom w:val="single" w:color="000000" w:sz="4" w:space="0"/>
              <w:right w:val="single" w:color="000000" w:sz="4" w:space="0"/>
            </w:tcBorders>
            <w:vAlign w:val="center"/>
          </w:tcPr>
          <w:p>
            <w:pPr>
              <w:pStyle w:val="16"/>
              <w:spacing w:before="92"/>
              <w:ind w:left="2"/>
              <w:jc w:val="center"/>
              <w:rPr>
                <w:rFonts w:ascii="仿宋" w:hAnsi="仿宋" w:eastAsia="仿宋" w:cs="仿宋"/>
                <w:color w:val="auto"/>
                <w:sz w:val="21"/>
                <w:szCs w:val="21"/>
              </w:rPr>
            </w:pPr>
            <w:r>
              <w:rPr>
                <w:rFonts w:hint="eastAsia" w:ascii="仿宋" w:hAnsi="仿宋" w:eastAsia="仿宋" w:cs="仿宋"/>
                <w:color w:val="auto"/>
                <w:sz w:val="21"/>
                <w:szCs w:val="21"/>
              </w:rPr>
              <w:t>1</w:t>
            </w:r>
          </w:p>
        </w:tc>
        <w:tc>
          <w:tcPr>
            <w:tcW w:w="5684" w:type="dxa"/>
            <w:tcBorders>
              <w:top w:val="single" w:color="000000" w:sz="4" w:space="0"/>
              <w:left w:val="single" w:color="000000" w:sz="4" w:space="0"/>
              <w:bottom w:val="single" w:color="000000" w:sz="4" w:space="0"/>
              <w:right w:val="single" w:color="000000" w:sz="4" w:space="0"/>
            </w:tcBorders>
            <w:vAlign w:val="center"/>
          </w:tcPr>
          <w:p>
            <w:pPr>
              <w:pStyle w:val="16"/>
              <w:spacing w:before="48" w:line="286" w:lineRule="exact"/>
              <w:ind w:left="103" w:right="110"/>
              <w:rPr>
                <w:rFonts w:ascii="仿宋" w:hAnsi="仿宋" w:eastAsia="仿宋" w:cs="仿宋"/>
                <w:color w:val="auto"/>
                <w:lang w:eastAsia="zh-CN"/>
              </w:rPr>
            </w:pPr>
            <w:r>
              <w:rPr>
                <w:rFonts w:hint="eastAsia" w:ascii="仿宋" w:hAnsi="仿宋" w:eastAsia="仿宋" w:cs="仿宋"/>
                <w:color w:val="auto"/>
                <w:lang w:eastAsia="zh-CN"/>
              </w:rPr>
              <w:t>投标人在中国境内注册并取得的具备独立法人资格的营业执照（三证合一），具有相应的经营范围，且在有效期内。</w:t>
            </w:r>
          </w:p>
        </w:tc>
        <w:tc>
          <w:tcPr>
            <w:tcW w:w="2113" w:type="dxa"/>
            <w:tcBorders>
              <w:top w:val="single" w:color="000000" w:sz="4" w:space="0"/>
              <w:left w:val="single" w:color="000000" w:sz="4" w:space="0"/>
              <w:bottom w:val="single" w:color="000000" w:sz="4" w:space="0"/>
              <w:right w:val="single" w:color="000000" w:sz="4" w:space="0"/>
            </w:tcBorders>
            <w:vAlign w:val="center"/>
          </w:tcPr>
          <w:p>
            <w:pPr>
              <w:pStyle w:val="16"/>
              <w:spacing w:before="164"/>
              <w:jc w:val="center"/>
              <w:rPr>
                <w:rFonts w:ascii="仿宋" w:hAnsi="仿宋" w:eastAsia="仿宋" w:cs="仿宋"/>
                <w:color w:val="auto"/>
              </w:rPr>
            </w:pPr>
            <w:r>
              <w:rPr>
                <w:rFonts w:hint="eastAsia" w:ascii="仿宋" w:hAnsi="仿宋" w:eastAsia="仿宋" w:cs="仿宋"/>
                <w:color w:val="auto"/>
                <w:lang w:eastAsia="zh-CN"/>
              </w:rPr>
              <w:t>清晰扫描件</w:t>
            </w:r>
            <w:r>
              <w:rPr>
                <w:rFonts w:hint="eastAsia" w:ascii="仿宋" w:hAnsi="仿宋" w:eastAsia="仿宋" w:cs="仿宋"/>
                <w:color w:val="auto"/>
              </w:rPr>
              <w:t>加盖公章</w:t>
            </w:r>
          </w:p>
        </w:tc>
      </w:tr>
      <w:tr>
        <w:tblPrEx>
          <w:tblCellMar>
            <w:top w:w="0" w:type="dxa"/>
            <w:left w:w="0" w:type="dxa"/>
            <w:bottom w:w="0" w:type="dxa"/>
            <w:right w:w="0" w:type="dxa"/>
          </w:tblCellMar>
        </w:tblPrEx>
        <w:trPr>
          <w:trHeight w:val="715" w:hRule="exact"/>
        </w:trPr>
        <w:tc>
          <w:tcPr>
            <w:tcW w:w="850" w:type="dxa"/>
            <w:tcBorders>
              <w:top w:val="single" w:color="000000" w:sz="4" w:space="0"/>
              <w:left w:val="single" w:color="000000" w:sz="4" w:space="0"/>
              <w:bottom w:val="single" w:color="000000" w:sz="4" w:space="0"/>
              <w:right w:val="single" w:color="000000" w:sz="4" w:space="0"/>
            </w:tcBorders>
            <w:vAlign w:val="center"/>
          </w:tcPr>
          <w:p>
            <w:pPr>
              <w:pStyle w:val="16"/>
              <w:spacing w:before="177"/>
              <w:ind w:left="2"/>
              <w:jc w:val="center"/>
              <w:rPr>
                <w:rFonts w:ascii="仿宋" w:hAnsi="仿宋" w:eastAsia="仿宋" w:cs="仿宋"/>
                <w:color w:val="auto"/>
                <w:sz w:val="21"/>
                <w:szCs w:val="21"/>
              </w:rPr>
            </w:pPr>
            <w:r>
              <w:rPr>
                <w:rFonts w:hint="eastAsia" w:ascii="仿宋" w:hAnsi="仿宋" w:eastAsia="仿宋" w:cs="仿宋"/>
                <w:color w:val="auto"/>
                <w:sz w:val="21"/>
                <w:szCs w:val="21"/>
              </w:rPr>
              <w:t>2</w:t>
            </w:r>
          </w:p>
        </w:tc>
        <w:tc>
          <w:tcPr>
            <w:tcW w:w="5684" w:type="dxa"/>
            <w:tcBorders>
              <w:top w:val="single" w:color="000000" w:sz="4" w:space="0"/>
              <w:left w:val="single" w:color="000000" w:sz="4" w:space="0"/>
              <w:bottom w:val="single" w:color="000000" w:sz="4" w:space="0"/>
              <w:right w:val="single" w:color="000000" w:sz="4" w:space="0"/>
            </w:tcBorders>
            <w:vAlign w:val="center"/>
          </w:tcPr>
          <w:p>
            <w:pPr>
              <w:pStyle w:val="16"/>
              <w:spacing w:before="27" w:line="286" w:lineRule="exact"/>
              <w:ind w:left="103" w:right="110"/>
              <w:rPr>
                <w:rFonts w:ascii="仿宋" w:hAnsi="仿宋" w:eastAsia="仿宋" w:cs="仿宋"/>
                <w:color w:val="auto"/>
                <w:lang w:eastAsia="zh-CN"/>
              </w:rPr>
            </w:pPr>
            <w:r>
              <w:rPr>
                <w:rFonts w:hint="eastAsia" w:ascii="仿宋" w:hAnsi="仿宋" w:eastAsia="仿宋" w:cs="仿宋"/>
                <w:color w:val="auto"/>
                <w:lang w:val="zh-CN" w:eastAsia="zh-CN"/>
              </w:rPr>
              <w:t>投标人须具备矿业权评估资质或</w:t>
            </w:r>
            <w:r>
              <w:rPr>
                <w:rFonts w:hint="eastAsia" w:ascii="仿宋" w:hAnsi="仿宋" w:eastAsia="仿宋" w:cs="仿宋"/>
                <w:color w:val="auto"/>
                <w:lang w:eastAsia="zh-CN"/>
              </w:rPr>
              <w:t>资产评估资质</w:t>
            </w:r>
          </w:p>
        </w:tc>
        <w:tc>
          <w:tcPr>
            <w:tcW w:w="2113" w:type="dxa"/>
            <w:tcBorders>
              <w:top w:val="single" w:color="000000" w:sz="4" w:space="0"/>
              <w:left w:val="single" w:color="000000" w:sz="4" w:space="0"/>
              <w:bottom w:val="single" w:color="000000" w:sz="4" w:space="0"/>
              <w:right w:val="single" w:color="000000" w:sz="4" w:space="0"/>
            </w:tcBorders>
            <w:vAlign w:val="center"/>
          </w:tcPr>
          <w:p>
            <w:pPr>
              <w:ind w:left="103"/>
              <w:rPr>
                <w:rFonts w:ascii="仿宋" w:hAnsi="仿宋" w:eastAsia="仿宋" w:cs="仿宋"/>
                <w:color w:val="auto"/>
                <w:sz w:val="22"/>
                <w:szCs w:val="22"/>
              </w:rPr>
            </w:pPr>
            <w:r>
              <w:rPr>
                <w:rFonts w:hint="eastAsia" w:ascii="仿宋" w:hAnsi="仿宋" w:eastAsia="仿宋" w:cs="仿宋"/>
                <w:color w:val="auto"/>
                <w:sz w:val="22"/>
                <w:szCs w:val="22"/>
              </w:rPr>
              <w:t>清晰扫描件加盖公章</w:t>
            </w:r>
          </w:p>
        </w:tc>
      </w:tr>
      <w:tr>
        <w:tblPrEx>
          <w:tblCellMar>
            <w:top w:w="0" w:type="dxa"/>
            <w:left w:w="0" w:type="dxa"/>
            <w:bottom w:w="0" w:type="dxa"/>
            <w:right w:w="0" w:type="dxa"/>
          </w:tblCellMar>
        </w:tblPrEx>
        <w:trPr>
          <w:trHeight w:val="1071" w:hRule="exact"/>
        </w:trPr>
        <w:tc>
          <w:tcPr>
            <w:tcW w:w="850" w:type="dxa"/>
            <w:tcBorders>
              <w:top w:val="single" w:color="000000" w:sz="4" w:space="0"/>
              <w:left w:val="single" w:color="000000" w:sz="4" w:space="0"/>
              <w:bottom w:val="single" w:color="000000" w:sz="4" w:space="0"/>
              <w:right w:val="single" w:color="000000" w:sz="4" w:space="0"/>
            </w:tcBorders>
            <w:vAlign w:val="center"/>
          </w:tcPr>
          <w:p>
            <w:pPr>
              <w:pStyle w:val="16"/>
              <w:spacing w:before="113"/>
              <w:ind w:left="2"/>
              <w:jc w:val="center"/>
              <w:rPr>
                <w:rFonts w:ascii="仿宋" w:hAnsi="仿宋" w:eastAsia="仿宋" w:cs="仿宋"/>
                <w:color w:val="auto"/>
                <w:sz w:val="21"/>
                <w:szCs w:val="21"/>
              </w:rPr>
            </w:pPr>
            <w:r>
              <w:rPr>
                <w:rFonts w:hint="eastAsia" w:ascii="仿宋" w:hAnsi="仿宋" w:eastAsia="仿宋" w:cs="仿宋"/>
                <w:color w:val="auto"/>
                <w:sz w:val="21"/>
                <w:szCs w:val="21"/>
              </w:rPr>
              <w:t>3</w:t>
            </w:r>
          </w:p>
        </w:tc>
        <w:tc>
          <w:tcPr>
            <w:tcW w:w="5684" w:type="dxa"/>
            <w:tcBorders>
              <w:top w:val="single" w:color="000000" w:sz="4" w:space="0"/>
              <w:left w:val="single" w:color="000000" w:sz="4" w:space="0"/>
              <w:bottom w:val="single" w:color="000000" w:sz="4" w:space="0"/>
              <w:right w:val="single" w:color="000000" w:sz="4" w:space="0"/>
            </w:tcBorders>
            <w:vAlign w:val="center"/>
          </w:tcPr>
          <w:p>
            <w:pPr>
              <w:pStyle w:val="16"/>
              <w:spacing w:before="185"/>
              <w:ind w:left="103"/>
              <w:rPr>
                <w:rFonts w:ascii="仿宋" w:hAnsi="仿宋" w:eastAsia="仿宋" w:cs="仿宋"/>
                <w:color w:val="auto"/>
                <w:lang w:eastAsia="zh-CN"/>
              </w:rPr>
            </w:pPr>
            <w:r>
              <w:rPr>
                <w:rFonts w:hint="eastAsia" w:ascii="仿宋" w:hAnsi="仿宋" w:eastAsia="仿宋" w:cs="仿宋"/>
                <w:color w:val="auto"/>
                <w:lang w:eastAsia="zh-CN"/>
              </w:rPr>
              <w:t>投标人业绩要求：投标人自 2020年1月 1 日以来（以合同签订日期为准）至少承接</w:t>
            </w:r>
            <w:r>
              <w:rPr>
                <w:rFonts w:hint="eastAsia" w:ascii="仿宋" w:hAnsi="仿宋" w:eastAsia="仿宋" w:cs="仿宋"/>
                <w:color w:val="auto"/>
                <w:lang w:val="zh-CN" w:eastAsia="zh-CN"/>
              </w:rPr>
              <w:t>过</w:t>
            </w:r>
            <w:r>
              <w:rPr>
                <w:rFonts w:hint="eastAsia" w:ascii="仿宋" w:hAnsi="仿宋" w:eastAsia="仿宋" w:cs="仿宋"/>
                <w:color w:val="auto"/>
                <w:lang w:eastAsia="zh-CN"/>
              </w:rPr>
              <w:t>1项矿业权评估或矿业相关资产评估类似业绩（提供合同复印件或中标通知书加盖公章）。</w:t>
            </w:r>
          </w:p>
        </w:tc>
        <w:tc>
          <w:tcPr>
            <w:tcW w:w="2113" w:type="dxa"/>
            <w:tcBorders>
              <w:top w:val="single" w:color="000000" w:sz="4" w:space="0"/>
              <w:left w:val="single" w:color="000000" w:sz="4" w:space="0"/>
              <w:bottom w:val="single" w:color="000000" w:sz="4" w:space="0"/>
              <w:right w:val="single" w:color="000000" w:sz="4" w:space="0"/>
            </w:tcBorders>
            <w:vAlign w:val="center"/>
          </w:tcPr>
          <w:p>
            <w:pPr>
              <w:spacing w:before="185"/>
              <w:ind w:left="103"/>
              <w:rPr>
                <w:rFonts w:ascii="仿宋" w:hAnsi="仿宋" w:eastAsia="仿宋" w:cs="仿宋"/>
                <w:color w:val="auto"/>
                <w:sz w:val="22"/>
                <w:szCs w:val="22"/>
              </w:rPr>
            </w:pPr>
            <w:r>
              <w:rPr>
                <w:rFonts w:hint="eastAsia" w:ascii="仿宋" w:hAnsi="仿宋" w:eastAsia="仿宋" w:cs="仿宋"/>
                <w:color w:val="auto"/>
                <w:sz w:val="22"/>
                <w:szCs w:val="22"/>
              </w:rPr>
              <w:t>清晰扫描件加盖公章</w:t>
            </w:r>
          </w:p>
        </w:tc>
      </w:tr>
      <w:tr>
        <w:tblPrEx>
          <w:tblCellMar>
            <w:top w:w="0" w:type="dxa"/>
            <w:left w:w="0" w:type="dxa"/>
            <w:bottom w:w="0" w:type="dxa"/>
            <w:right w:w="0" w:type="dxa"/>
          </w:tblCellMar>
        </w:tblPrEx>
        <w:trPr>
          <w:trHeight w:val="1581" w:hRule="exact"/>
        </w:trPr>
        <w:tc>
          <w:tcPr>
            <w:tcW w:w="850" w:type="dxa"/>
            <w:tcBorders>
              <w:top w:val="single" w:color="000000" w:sz="4" w:space="0"/>
              <w:left w:val="single" w:color="000000" w:sz="4" w:space="0"/>
              <w:bottom w:val="single" w:color="000000" w:sz="4" w:space="0"/>
              <w:right w:val="single" w:color="000000" w:sz="4" w:space="0"/>
            </w:tcBorders>
            <w:vAlign w:val="center"/>
          </w:tcPr>
          <w:p>
            <w:pPr>
              <w:pStyle w:val="16"/>
              <w:spacing w:before="114"/>
              <w:ind w:left="2"/>
              <w:jc w:val="center"/>
              <w:rPr>
                <w:rFonts w:ascii="仿宋" w:hAnsi="仿宋" w:eastAsia="仿宋" w:cs="仿宋"/>
                <w:color w:val="auto"/>
                <w:sz w:val="21"/>
                <w:szCs w:val="21"/>
                <w:lang w:eastAsia="zh-CN"/>
              </w:rPr>
            </w:pPr>
            <w:r>
              <w:rPr>
                <w:rFonts w:hint="eastAsia" w:ascii="仿宋" w:hAnsi="仿宋" w:eastAsia="仿宋" w:cs="仿宋"/>
                <w:color w:val="auto"/>
                <w:sz w:val="21"/>
                <w:szCs w:val="21"/>
                <w:lang w:eastAsia="zh-CN"/>
              </w:rPr>
              <w:t>4</w:t>
            </w:r>
          </w:p>
        </w:tc>
        <w:tc>
          <w:tcPr>
            <w:tcW w:w="5684" w:type="dxa"/>
            <w:tcBorders>
              <w:top w:val="single" w:color="000000" w:sz="4" w:space="0"/>
              <w:left w:val="single" w:color="000000" w:sz="4" w:space="0"/>
              <w:bottom w:val="single" w:color="000000" w:sz="4" w:space="0"/>
              <w:right w:val="single" w:color="000000" w:sz="4" w:space="0"/>
            </w:tcBorders>
            <w:vAlign w:val="center"/>
          </w:tcPr>
          <w:p>
            <w:pPr>
              <w:pStyle w:val="16"/>
              <w:spacing w:before="70" w:line="286" w:lineRule="exact"/>
              <w:ind w:left="103" w:right="110"/>
              <w:rPr>
                <w:rFonts w:ascii="仿宋" w:hAnsi="仿宋" w:eastAsia="仿宋" w:cs="仿宋"/>
                <w:color w:val="auto"/>
                <w:lang w:eastAsia="zh-CN"/>
              </w:rPr>
            </w:pPr>
            <w:r>
              <w:rPr>
                <w:rFonts w:hint="eastAsia" w:ascii="仿宋" w:hAnsi="仿宋" w:eastAsia="仿宋" w:cs="仿宋"/>
                <w:color w:val="auto"/>
                <w:lang w:eastAsia="zh-CN"/>
              </w:rPr>
              <w:t>根据《关于在招标投标活动中对失信被执行人实施联合惩戒的通知》([2016]285 号)规定，投标人须通过“信用中国”(网址 www.creditchina.gov.cn)对本企业进行信用查询，若在“失信被执行人”名单中的，其投标无效，查询结果以当天在“信用中国”网站查询结果为准。</w:t>
            </w:r>
          </w:p>
          <w:p>
            <w:pPr>
              <w:pStyle w:val="16"/>
              <w:spacing w:before="70" w:line="286" w:lineRule="exact"/>
              <w:ind w:left="103" w:right="110"/>
              <w:rPr>
                <w:rFonts w:ascii="仿宋" w:hAnsi="仿宋" w:eastAsia="仿宋" w:cs="仿宋"/>
                <w:color w:val="auto"/>
                <w:lang w:eastAsia="zh-CN"/>
              </w:rPr>
            </w:pPr>
          </w:p>
        </w:tc>
        <w:tc>
          <w:tcPr>
            <w:tcW w:w="2113" w:type="dxa"/>
            <w:tcBorders>
              <w:top w:val="single" w:color="000000" w:sz="4" w:space="0"/>
              <w:left w:val="single" w:color="000000" w:sz="4" w:space="0"/>
              <w:bottom w:val="single" w:color="000000" w:sz="4" w:space="0"/>
              <w:right w:val="single" w:color="000000" w:sz="4" w:space="0"/>
            </w:tcBorders>
            <w:vAlign w:val="center"/>
          </w:tcPr>
          <w:p>
            <w:pPr>
              <w:pStyle w:val="16"/>
              <w:spacing w:before="186"/>
              <w:ind w:left="103"/>
              <w:jc w:val="center"/>
              <w:rPr>
                <w:rFonts w:ascii="仿宋" w:hAnsi="仿宋" w:eastAsia="仿宋" w:cs="仿宋"/>
                <w:color w:val="auto"/>
              </w:rPr>
            </w:pPr>
            <w:r>
              <w:rPr>
                <w:rFonts w:hint="eastAsia" w:ascii="仿宋" w:hAnsi="仿宋" w:eastAsia="仿宋" w:cs="仿宋"/>
                <w:color w:val="auto"/>
              </w:rPr>
              <w:t>提供网络查询截图</w:t>
            </w:r>
          </w:p>
        </w:tc>
      </w:tr>
      <w:tr>
        <w:tblPrEx>
          <w:tblCellMar>
            <w:top w:w="0" w:type="dxa"/>
            <w:left w:w="0" w:type="dxa"/>
            <w:bottom w:w="0" w:type="dxa"/>
            <w:right w:w="0" w:type="dxa"/>
          </w:tblCellMar>
        </w:tblPrEx>
        <w:trPr>
          <w:trHeight w:val="736" w:hRule="exact"/>
        </w:trPr>
        <w:tc>
          <w:tcPr>
            <w:tcW w:w="850" w:type="dxa"/>
            <w:tcBorders>
              <w:top w:val="single" w:color="000000" w:sz="4" w:space="0"/>
              <w:left w:val="single" w:color="000000" w:sz="4" w:space="0"/>
              <w:bottom w:val="single" w:color="000000" w:sz="4" w:space="0"/>
              <w:right w:val="single" w:color="000000" w:sz="4" w:space="0"/>
            </w:tcBorders>
            <w:vAlign w:val="center"/>
          </w:tcPr>
          <w:p>
            <w:pPr>
              <w:pStyle w:val="16"/>
              <w:spacing w:before="115"/>
              <w:ind w:left="2"/>
              <w:jc w:val="center"/>
              <w:rPr>
                <w:rFonts w:ascii="仿宋" w:hAnsi="仿宋" w:eastAsia="仿宋" w:cs="仿宋"/>
                <w:color w:val="auto"/>
                <w:sz w:val="21"/>
                <w:szCs w:val="21"/>
                <w:lang w:eastAsia="zh-CN"/>
              </w:rPr>
            </w:pPr>
            <w:r>
              <w:rPr>
                <w:rFonts w:hint="eastAsia" w:ascii="仿宋" w:hAnsi="仿宋" w:eastAsia="仿宋" w:cs="仿宋"/>
                <w:color w:val="auto"/>
                <w:sz w:val="21"/>
                <w:szCs w:val="21"/>
                <w:lang w:eastAsia="zh-CN"/>
              </w:rPr>
              <w:t>5</w:t>
            </w:r>
          </w:p>
        </w:tc>
        <w:tc>
          <w:tcPr>
            <w:tcW w:w="5684" w:type="dxa"/>
            <w:tcBorders>
              <w:top w:val="single" w:color="000000" w:sz="4" w:space="0"/>
              <w:left w:val="single" w:color="000000" w:sz="4" w:space="0"/>
              <w:bottom w:val="single" w:color="000000" w:sz="4" w:space="0"/>
              <w:right w:val="single" w:color="000000" w:sz="4" w:space="0"/>
            </w:tcBorders>
            <w:vAlign w:val="center"/>
          </w:tcPr>
          <w:p>
            <w:pPr>
              <w:pStyle w:val="16"/>
              <w:spacing w:before="70" w:line="286" w:lineRule="exact"/>
              <w:ind w:left="103" w:right="110"/>
              <w:rPr>
                <w:rFonts w:ascii="仿宋" w:hAnsi="仿宋" w:eastAsia="仿宋" w:cs="仿宋"/>
                <w:color w:val="auto"/>
                <w:spacing w:val="-2"/>
                <w:lang w:eastAsia="zh-CN"/>
              </w:rPr>
            </w:pPr>
            <w:r>
              <w:rPr>
                <w:rFonts w:hint="eastAsia" w:ascii="仿宋" w:hAnsi="仿宋" w:eastAsia="仿宋" w:cs="仿宋"/>
                <w:color w:val="auto"/>
                <w:spacing w:val="-2"/>
                <w:lang w:eastAsia="zh-CN"/>
              </w:rPr>
              <w:t>投标人须提供诚信投标等承诺书。</w:t>
            </w:r>
          </w:p>
        </w:tc>
        <w:tc>
          <w:tcPr>
            <w:tcW w:w="2113" w:type="dxa"/>
            <w:tcBorders>
              <w:top w:val="single" w:color="000000" w:sz="4" w:space="0"/>
              <w:left w:val="single" w:color="000000" w:sz="4" w:space="0"/>
              <w:bottom w:val="single" w:color="000000" w:sz="4" w:space="0"/>
              <w:right w:val="single" w:color="000000" w:sz="4" w:space="0"/>
            </w:tcBorders>
            <w:vAlign w:val="center"/>
          </w:tcPr>
          <w:p>
            <w:pPr>
              <w:pStyle w:val="16"/>
              <w:spacing w:before="184"/>
              <w:ind w:left="103"/>
              <w:jc w:val="center"/>
              <w:rPr>
                <w:rFonts w:ascii="仿宋" w:hAnsi="仿宋" w:eastAsia="仿宋" w:cs="仿宋"/>
                <w:color w:val="auto"/>
                <w:lang w:eastAsia="zh-CN"/>
              </w:rPr>
            </w:pPr>
            <w:r>
              <w:rPr>
                <w:rFonts w:hint="eastAsia" w:ascii="仿宋" w:hAnsi="仿宋" w:eastAsia="仿宋" w:cs="仿宋"/>
                <w:color w:val="auto"/>
              </w:rPr>
              <w:t>提供原件扫描件</w:t>
            </w:r>
          </w:p>
        </w:tc>
      </w:tr>
      <w:tr>
        <w:tblPrEx>
          <w:tblCellMar>
            <w:top w:w="0" w:type="dxa"/>
            <w:left w:w="0" w:type="dxa"/>
            <w:bottom w:w="0" w:type="dxa"/>
            <w:right w:w="0" w:type="dxa"/>
          </w:tblCellMar>
        </w:tblPrEx>
        <w:trPr>
          <w:trHeight w:val="721" w:hRule="exact"/>
        </w:trPr>
        <w:tc>
          <w:tcPr>
            <w:tcW w:w="850" w:type="dxa"/>
            <w:tcBorders>
              <w:top w:val="single" w:color="000000" w:sz="4" w:space="0"/>
              <w:left w:val="single" w:color="000000" w:sz="4" w:space="0"/>
              <w:bottom w:val="single" w:color="000000" w:sz="4" w:space="0"/>
              <w:right w:val="single" w:color="000000" w:sz="4" w:space="0"/>
            </w:tcBorders>
            <w:vAlign w:val="center"/>
          </w:tcPr>
          <w:p>
            <w:pPr>
              <w:pStyle w:val="16"/>
              <w:spacing w:before="115"/>
              <w:ind w:left="2"/>
              <w:jc w:val="center"/>
              <w:rPr>
                <w:rFonts w:ascii="仿宋" w:hAnsi="仿宋" w:eastAsia="仿宋" w:cs="仿宋"/>
                <w:color w:val="auto"/>
                <w:sz w:val="21"/>
                <w:szCs w:val="21"/>
                <w:lang w:eastAsia="zh-CN"/>
              </w:rPr>
            </w:pPr>
            <w:r>
              <w:rPr>
                <w:rFonts w:hint="eastAsia" w:ascii="仿宋" w:hAnsi="仿宋" w:eastAsia="仿宋" w:cs="仿宋"/>
                <w:color w:val="auto"/>
                <w:sz w:val="21"/>
                <w:szCs w:val="21"/>
                <w:lang w:eastAsia="zh-CN"/>
              </w:rPr>
              <w:t>6</w:t>
            </w:r>
          </w:p>
        </w:tc>
        <w:tc>
          <w:tcPr>
            <w:tcW w:w="5684" w:type="dxa"/>
            <w:tcBorders>
              <w:top w:val="single" w:color="000000" w:sz="4" w:space="0"/>
              <w:left w:val="single" w:color="000000" w:sz="4" w:space="0"/>
              <w:bottom w:val="single" w:color="000000" w:sz="4" w:space="0"/>
              <w:right w:val="single" w:color="000000" w:sz="4" w:space="0"/>
            </w:tcBorders>
            <w:vAlign w:val="center"/>
          </w:tcPr>
          <w:p>
            <w:pPr>
              <w:pStyle w:val="16"/>
              <w:spacing w:before="185"/>
              <w:ind w:left="103"/>
              <w:rPr>
                <w:rFonts w:ascii="仿宋" w:hAnsi="仿宋" w:eastAsia="仿宋" w:cs="仿宋"/>
                <w:color w:val="auto"/>
                <w:lang w:eastAsia="zh-CN"/>
              </w:rPr>
            </w:pPr>
            <w:r>
              <w:rPr>
                <w:rFonts w:hint="eastAsia" w:ascii="仿宋" w:hAnsi="仿宋" w:eastAsia="仿宋" w:cs="仿宋"/>
                <w:color w:val="auto"/>
              </w:rPr>
              <w:t>实质性响应</w:t>
            </w:r>
            <w:r>
              <w:rPr>
                <w:rFonts w:hint="eastAsia" w:ascii="仿宋" w:hAnsi="仿宋" w:eastAsia="仿宋" w:cs="仿宋"/>
                <w:color w:val="auto"/>
                <w:lang w:eastAsia="zh-CN"/>
              </w:rPr>
              <w:t>。</w:t>
            </w:r>
          </w:p>
        </w:tc>
        <w:tc>
          <w:tcPr>
            <w:tcW w:w="2113" w:type="dxa"/>
            <w:tcBorders>
              <w:top w:val="single" w:color="000000" w:sz="4" w:space="0"/>
              <w:left w:val="single" w:color="000000" w:sz="4" w:space="0"/>
              <w:bottom w:val="single" w:color="000000" w:sz="4" w:space="0"/>
              <w:right w:val="single" w:color="000000" w:sz="4" w:space="0"/>
            </w:tcBorders>
            <w:vAlign w:val="center"/>
          </w:tcPr>
          <w:p>
            <w:pPr>
              <w:pStyle w:val="16"/>
              <w:spacing w:before="73" w:line="284" w:lineRule="exact"/>
              <w:ind w:left="103" w:right="250"/>
              <w:jc w:val="center"/>
              <w:rPr>
                <w:rFonts w:ascii="仿宋" w:hAnsi="仿宋" w:eastAsia="仿宋" w:cs="仿宋"/>
                <w:color w:val="auto"/>
                <w:lang w:eastAsia="zh-CN"/>
              </w:rPr>
            </w:pPr>
            <w:r>
              <w:rPr>
                <w:rFonts w:hint="eastAsia" w:ascii="仿宋" w:hAnsi="仿宋" w:eastAsia="仿宋" w:cs="仿宋"/>
                <w:color w:val="auto"/>
                <w:lang w:eastAsia="zh-CN"/>
              </w:rPr>
              <w:t>未提出招标人不能 接受的条件的</w:t>
            </w:r>
          </w:p>
        </w:tc>
      </w:tr>
      <w:tr>
        <w:tblPrEx>
          <w:tblCellMar>
            <w:top w:w="0" w:type="dxa"/>
            <w:left w:w="0" w:type="dxa"/>
            <w:bottom w:w="0" w:type="dxa"/>
            <w:right w:w="0" w:type="dxa"/>
          </w:tblCellMar>
        </w:tblPrEx>
        <w:trPr>
          <w:trHeight w:val="1473" w:hRule="exact"/>
        </w:trPr>
        <w:tc>
          <w:tcPr>
            <w:tcW w:w="850" w:type="dxa"/>
            <w:tcBorders>
              <w:top w:val="single" w:color="000000" w:sz="4" w:space="0"/>
              <w:left w:val="single" w:color="000000" w:sz="4" w:space="0"/>
              <w:bottom w:val="single" w:color="000000" w:sz="4" w:space="0"/>
              <w:right w:val="single" w:color="000000" w:sz="4" w:space="0"/>
            </w:tcBorders>
            <w:vAlign w:val="center"/>
          </w:tcPr>
          <w:p>
            <w:pPr>
              <w:pStyle w:val="16"/>
              <w:spacing w:before="174"/>
              <w:jc w:val="center"/>
              <w:rPr>
                <w:rFonts w:ascii="仿宋" w:hAnsi="仿宋" w:eastAsia="仿宋" w:cs="仿宋"/>
                <w:color w:val="auto"/>
                <w:sz w:val="21"/>
                <w:szCs w:val="21"/>
                <w:lang w:eastAsia="zh-CN"/>
              </w:rPr>
            </w:pPr>
            <w:r>
              <w:rPr>
                <w:rFonts w:hint="eastAsia" w:ascii="仿宋" w:hAnsi="仿宋" w:eastAsia="仿宋" w:cs="仿宋"/>
                <w:color w:val="auto"/>
                <w:sz w:val="21"/>
                <w:szCs w:val="21"/>
                <w:lang w:eastAsia="zh-CN"/>
              </w:rPr>
              <w:t>7</w:t>
            </w:r>
          </w:p>
        </w:tc>
        <w:tc>
          <w:tcPr>
            <w:tcW w:w="5684" w:type="dxa"/>
            <w:tcBorders>
              <w:top w:val="single" w:color="000000" w:sz="4" w:space="0"/>
              <w:left w:val="single" w:color="000000" w:sz="4" w:space="0"/>
              <w:bottom w:val="single" w:color="000000" w:sz="4" w:space="0"/>
              <w:right w:val="single" w:color="000000" w:sz="4" w:space="0"/>
            </w:tcBorders>
            <w:vAlign w:val="center"/>
          </w:tcPr>
          <w:p>
            <w:pPr>
              <w:pStyle w:val="16"/>
              <w:spacing w:line="252" w:lineRule="exact"/>
              <w:ind w:left="103"/>
              <w:rPr>
                <w:rFonts w:ascii="仿宋" w:hAnsi="仿宋" w:eastAsia="仿宋" w:cs="仿宋"/>
                <w:color w:val="auto"/>
                <w:lang w:eastAsia="zh-CN"/>
              </w:rPr>
            </w:pPr>
            <w:r>
              <w:rPr>
                <w:rFonts w:hint="eastAsia" w:ascii="仿宋" w:hAnsi="仿宋" w:eastAsia="仿宋" w:cs="仿宋"/>
                <w:color w:val="auto"/>
                <w:lang w:eastAsia="zh-CN"/>
              </w:rPr>
              <w:t>投标报价：</w:t>
            </w:r>
          </w:p>
          <w:p>
            <w:pPr>
              <w:pStyle w:val="16"/>
              <w:spacing w:before="1" w:line="237" w:lineRule="auto"/>
              <w:ind w:right="221"/>
              <w:rPr>
                <w:rFonts w:ascii="仿宋" w:hAnsi="仿宋" w:eastAsia="仿宋" w:cs="仿宋"/>
                <w:color w:val="auto"/>
                <w:lang w:eastAsia="zh-CN"/>
              </w:rPr>
            </w:pPr>
            <w:r>
              <w:rPr>
                <w:rFonts w:hint="eastAsia" w:ascii="仿宋" w:hAnsi="仿宋" w:eastAsia="仿宋" w:cs="仿宋"/>
                <w:color w:val="auto"/>
                <w:lang w:eastAsia="zh-CN"/>
              </w:rPr>
              <w:t>(1)投标函中的大写报价不大于本标段招标控制价总价；</w:t>
            </w:r>
          </w:p>
          <w:p>
            <w:pPr>
              <w:pStyle w:val="16"/>
              <w:spacing w:before="30" w:line="284" w:lineRule="exact"/>
              <w:ind w:right="221"/>
              <w:rPr>
                <w:rFonts w:ascii="仿宋" w:hAnsi="仿宋" w:eastAsia="仿宋" w:cs="仿宋"/>
                <w:color w:val="auto"/>
                <w:lang w:eastAsia="zh-CN"/>
              </w:rPr>
            </w:pPr>
            <w:r>
              <w:rPr>
                <w:rFonts w:hint="eastAsia" w:ascii="仿宋" w:hAnsi="仿宋" w:eastAsia="仿宋" w:cs="仿宋"/>
                <w:color w:val="auto"/>
                <w:spacing w:val="-2"/>
                <w:lang w:eastAsia="zh-CN"/>
              </w:rPr>
              <w:t>(2)算术错误修正后的投标总报价不大于本标段招标控制</w:t>
            </w:r>
            <w:r>
              <w:rPr>
                <w:rFonts w:hint="eastAsia" w:ascii="仿宋" w:hAnsi="仿宋" w:eastAsia="仿宋" w:cs="仿宋"/>
                <w:color w:val="auto"/>
                <w:spacing w:val="-76"/>
                <w:lang w:eastAsia="zh-CN"/>
              </w:rPr>
              <w:t xml:space="preserve"> </w:t>
            </w:r>
            <w:r>
              <w:rPr>
                <w:rFonts w:hint="eastAsia" w:ascii="仿宋" w:hAnsi="仿宋" w:eastAsia="仿宋" w:cs="仿宋"/>
                <w:color w:val="auto"/>
                <w:lang w:eastAsia="zh-CN"/>
              </w:rPr>
              <w:t>价总价；</w:t>
            </w:r>
          </w:p>
          <w:p>
            <w:pPr>
              <w:pStyle w:val="16"/>
              <w:spacing w:line="260" w:lineRule="exact"/>
              <w:rPr>
                <w:rFonts w:ascii="仿宋" w:hAnsi="仿宋" w:eastAsia="仿宋" w:cs="仿宋"/>
                <w:color w:val="auto"/>
                <w:lang w:eastAsia="zh-CN"/>
              </w:rPr>
            </w:pPr>
            <w:r>
              <w:rPr>
                <w:rFonts w:hint="eastAsia" w:ascii="仿宋" w:hAnsi="仿宋" w:eastAsia="仿宋" w:cs="仿宋"/>
                <w:color w:val="auto"/>
                <w:lang w:eastAsia="zh-CN"/>
              </w:rPr>
              <w:t>(3)投标报价不低于其成本。</w:t>
            </w:r>
          </w:p>
        </w:tc>
        <w:tc>
          <w:tcPr>
            <w:tcW w:w="2113" w:type="dxa"/>
            <w:tcBorders>
              <w:top w:val="single" w:color="000000" w:sz="4" w:space="0"/>
              <w:left w:val="single" w:color="000000" w:sz="4" w:space="0"/>
              <w:bottom w:val="single" w:color="000000" w:sz="4" w:space="0"/>
              <w:right w:val="single" w:color="000000" w:sz="4" w:space="0"/>
            </w:tcBorders>
            <w:vAlign w:val="center"/>
          </w:tcPr>
          <w:p>
            <w:pPr>
              <w:pStyle w:val="16"/>
              <w:ind w:left="103"/>
              <w:jc w:val="center"/>
              <w:rPr>
                <w:rFonts w:ascii="仿宋" w:hAnsi="仿宋" w:eastAsia="仿宋" w:cs="仿宋"/>
                <w:color w:val="auto"/>
                <w:lang w:eastAsia="zh-CN"/>
              </w:rPr>
            </w:pPr>
          </w:p>
          <w:p>
            <w:pPr>
              <w:pStyle w:val="16"/>
              <w:ind w:left="103"/>
              <w:jc w:val="center"/>
              <w:rPr>
                <w:rFonts w:ascii="仿宋" w:hAnsi="仿宋" w:eastAsia="仿宋" w:cs="仿宋"/>
                <w:color w:val="auto"/>
              </w:rPr>
            </w:pPr>
            <w:r>
              <w:rPr>
                <w:rFonts w:hint="eastAsia" w:ascii="仿宋" w:hAnsi="仿宋" w:eastAsia="仿宋" w:cs="仿宋"/>
                <w:color w:val="auto"/>
              </w:rPr>
              <w:t>符合要求</w:t>
            </w:r>
          </w:p>
        </w:tc>
      </w:tr>
      <w:tr>
        <w:tblPrEx>
          <w:tblCellMar>
            <w:top w:w="0" w:type="dxa"/>
            <w:left w:w="0" w:type="dxa"/>
            <w:bottom w:w="0" w:type="dxa"/>
            <w:right w:w="0" w:type="dxa"/>
          </w:tblCellMar>
        </w:tblPrEx>
        <w:trPr>
          <w:trHeight w:val="1068" w:hRule="exact"/>
        </w:trPr>
        <w:tc>
          <w:tcPr>
            <w:tcW w:w="850" w:type="dxa"/>
            <w:tcBorders>
              <w:top w:val="single" w:color="auto" w:sz="4" w:space="0"/>
              <w:left w:val="single" w:color="auto" w:sz="4" w:space="0"/>
              <w:bottom w:val="single" w:color="auto" w:sz="4" w:space="0"/>
              <w:right w:val="single" w:color="auto" w:sz="4" w:space="0"/>
            </w:tcBorders>
            <w:vAlign w:val="center"/>
          </w:tcPr>
          <w:p>
            <w:pPr>
              <w:pStyle w:val="16"/>
              <w:spacing w:before="176"/>
              <w:jc w:val="center"/>
              <w:rPr>
                <w:rFonts w:ascii="仿宋" w:hAnsi="仿宋" w:eastAsia="仿宋" w:cs="仿宋"/>
                <w:color w:val="auto"/>
                <w:sz w:val="21"/>
                <w:szCs w:val="21"/>
                <w:lang w:eastAsia="zh-CN"/>
              </w:rPr>
            </w:pPr>
            <w:r>
              <w:rPr>
                <w:rFonts w:hint="eastAsia" w:ascii="仿宋" w:hAnsi="仿宋" w:eastAsia="仿宋" w:cs="仿宋"/>
                <w:color w:val="auto"/>
                <w:sz w:val="21"/>
                <w:szCs w:val="21"/>
                <w:lang w:eastAsia="zh-CN"/>
              </w:rPr>
              <w:t>8</w:t>
            </w:r>
          </w:p>
        </w:tc>
        <w:tc>
          <w:tcPr>
            <w:tcW w:w="7797" w:type="dxa"/>
            <w:gridSpan w:val="2"/>
            <w:tcBorders>
              <w:top w:val="single" w:color="auto" w:sz="4" w:space="0"/>
              <w:left w:val="single" w:color="auto" w:sz="4" w:space="0"/>
              <w:bottom w:val="single" w:color="auto" w:sz="4" w:space="0"/>
              <w:right w:val="single" w:color="auto" w:sz="4" w:space="0"/>
            </w:tcBorders>
            <w:vAlign w:val="center"/>
          </w:tcPr>
          <w:p>
            <w:pPr>
              <w:pStyle w:val="16"/>
              <w:spacing w:line="253" w:lineRule="exact"/>
              <w:ind w:left="103"/>
              <w:rPr>
                <w:rFonts w:ascii="仿宋" w:hAnsi="仿宋" w:eastAsia="仿宋" w:cs="仿宋"/>
                <w:color w:val="auto"/>
                <w:lang w:eastAsia="zh-CN"/>
              </w:rPr>
            </w:pPr>
            <w:r>
              <w:rPr>
                <w:rFonts w:hint="eastAsia" w:ascii="仿宋" w:hAnsi="仿宋" w:eastAsia="仿宋" w:cs="仿宋"/>
                <w:color w:val="auto"/>
                <w:lang w:eastAsia="zh-CN"/>
              </w:rPr>
              <w:t>投标人不得存在的其他情形：</w:t>
            </w:r>
          </w:p>
          <w:p>
            <w:pPr>
              <w:pStyle w:val="16"/>
              <w:spacing w:line="253" w:lineRule="exact"/>
              <w:rPr>
                <w:rFonts w:ascii="仿宋" w:hAnsi="仿宋" w:eastAsia="仿宋" w:cs="仿宋"/>
                <w:color w:val="auto"/>
                <w:lang w:eastAsia="zh-CN"/>
              </w:rPr>
            </w:pPr>
            <w:r>
              <w:rPr>
                <w:rFonts w:hint="eastAsia" w:ascii="仿宋" w:hAnsi="仿宋" w:eastAsia="仿宋" w:cs="仿宋"/>
                <w:color w:val="auto"/>
                <w:lang w:eastAsia="zh-CN"/>
              </w:rPr>
              <w:t>(1)串通投标、弄虚作假、行贿或有其他违法行为的；</w:t>
            </w:r>
          </w:p>
          <w:p>
            <w:pPr>
              <w:pStyle w:val="16"/>
              <w:spacing w:line="253" w:lineRule="exact"/>
              <w:rPr>
                <w:rFonts w:ascii="仿宋" w:hAnsi="仿宋" w:eastAsia="仿宋" w:cs="仿宋"/>
                <w:color w:val="auto"/>
                <w:sz w:val="21"/>
                <w:szCs w:val="21"/>
                <w:lang w:eastAsia="zh-CN"/>
              </w:rPr>
            </w:pPr>
            <w:r>
              <w:rPr>
                <w:rFonts w:hint="eastAsia" w:ascii="仿宋" w:hAnsi="仿宋" w:eastAsia="仿宋" w:cs="仿宋"/>
                <w:color w:val="auto"/>
                <w:lang w:eastAsia="zh-CN"/>
              </w:rPr>
              <w:t>(2)不按评标委员会要求澄清、说明或补正的。</w:t>
            </w:r>
          </w:p>
        </w:tc>
      </w:tr>
    </w:tbl>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注：资格审查合格的投标人才进进入详细评审。</w:t>
      </w:r>
    </w:p>
    <w:p>
      <w:pPr>
        <w:spacing w:line="560" w:lineRule="exact"/>
        <w:ind w:left="480" w:leftChars="200"/>
        <w:jc w:val="left"/>
        <w:rPr>
          <w:rFonts w:ascii="仿宋" w:hAnsi="仿宋" w:eastAsia="仿宋" w:cs="仿宋"/>
          <w:color w:val="auto"/>
          <w:sz w:val="32"/>
          <w:szCs w:val="32"/>
        </w:rPr>
      </w:pPr>
      <w:r>
        <w:rPr>
          <w:rFonts w:hint="eastAsia" w:ascii="仿宋" w:hAnsi="仿宋" w:eastAsia="仿宋" w:cs="仿宋"/>
          <w:color w:val="auto"/>
          <w:sz w:val="32"/>
          <w:szCs w:val="32"/>
        </w:rPr>
        <w:t>二、详细评审</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（一）说明：</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1.评标委员会只对有效投标人的有效投标文件进行评审。</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2.本工程采用综合百分评估法评分，由投标报价、商务、技术组成。经评审后向招标人推荐三名中标候选人的一种评标办法。</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3.按投标人投标文件送达的先后顺序开标。投标人的投标报价超过招标控制价的为废标。评标委员会将只对通过初步评审的投标文件进行评价和比较。</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（二）评分办法：</w:t>
      </w:r>
    </w:p>
    <w:tbl>
      <w:tblPr>
        <w:tblStyle w:val="12"/>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115"/>
        <w:gridCol w:w="939"/>
        <w:gridCol w:w="5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spacing w:line="360" w:lineRule="auto"/>
              <w:jc w:val="center"/>
              <w:rPr>
                <w:rFonts w:ascii="仿宋" w:hAnsi="仿宋" w:eastAsia="仿宋" w:cs="仿宋"/>
                <w:b/>
                <w:color w:val="auto"/>
                <w:szCs w:val="21"/>
              </w:rPr>
            </w:pPr>
            <w:r>
              <w:rPr>
                <w:rFonts w:hint="eastAsia" w:ascii="仿宋" w:hAnsi="仿宋" w:eastAsia="仿宋" w:cs="仿宋"/>
                <w:b/>
                <w:color w:val="auto"/>
                <w:szCs w:val="21"/>
              </w:rPr>
              <w:t>评审项目</w:t>
            </w:r>
          </w:p>
        </w:tc>
        <w:tc>
          <w:tcPr>
            <w:tcW w:w="1115" w:type="dxa"/>
            <w:vAlign w:val="center"/>
          </w:tcPr>
          <w:p>
            <w:pPr>
              <w:spacing w:line="360" w:lineRule="auto"/>
              <w:jc w:val="center"/>
              <w:rPr>
                <w:rFonts w:ascii="仿宋" w:hAnsi="仿宋" w:eastAsia="仿宋" w:cs="仿宋"/>
                <w:color w:val="auto"/>
                <w:szCs w:val="21"/>
              </w:rPr>
            </w:pPr>
            <w:r>
              <w:rPr>
                <w:rFonts w:hint="eastAsia" w:ascii="仿宋" w:hAnsi="仿宋" w:eastAsia="仿宋" w:cs="仿宋"/>
                <w:b/>
                <w:color w:val="auto"/>
                <w:szCs w:val="21"/>
              </w:rPr>
              <w:t>评审分项</w:t>
            </w:r>
          </w:p>
        </w:tc>
        <w:tc>
          <w:tcPr>
            <w:tcW w:w="939" w:type="dxa"/>
            <w:vAlign w:val="center"/>
          </w:tcPr>
          <w:p>
            <w:pPr>
              <w:spacing w:line="360" w:lineRule="auto"/>
              <w:jc w:val="center"/>
              <w:rPr>
                <w:rFonts w:ascii="仿宋" w:hAnsi="仿宋" w:eastAsia="仿宋" w:cs="仿宋"/>
                <w:color w:val="auto"/>
                <w:szCs w:val="21"/>
              </w:rPr>
            </w:pPr>
            <w:r>
              <w:rPr>
                <w:rFonts w:hint="eastAsia" w:ascii="仿宋" w:hAnsi="仿宋" w:eastAsia="仿宋" w:cs="仿宋"/>
                <w:b/>
                <w:color w:val="auto"/>
                <w:szCs w:val="21"/>
              </w:rPr>
              <w:t>分值（分）</w:t>
            </w:r>
          </w:p>
        </w:tc>
        <w:tc>
          <w:tcPr>
            <w:tcW w:w="5884" w:type="dxa"/>
            <w:vAlign w:val="center"/>
          </w:tcPr>
          <w:p>
            <w:pPr>
              <w:spacing w:line="360" w:lineRule="auto"/>
              <w:jc w:val="center"/>
              <w:rPr>
                <w:rFonts w:ascii="仿宋" w:hAnsi="仿宋" w:eastAsia="仿宋" w:cs="仿宋"/>
                <w:color w:val="auto"/>
                <w:szCs w:val="21"/>
              </w:rPr>
            </w:pPr>
            <w:r>
              <w:rPr>
                <w:rFonts w:hint="eastAsia" w:ascii="仿宋" w:hAnsi="仿宋" w:eastAsia="仿宋" w:cs="仿宋"/>
                <w:b/>
                <w:color w:val="auto"/>
                <w:szCs w:val="21"/>
              </w:rPr>
              <w:t>评分细标准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adjustRightInd w:val="0"/>
              <w:snapToGrid w:val="0"/>
              <w:jc w:val="center"/>
              <w:rPr>
                <w:rFonts w:ascii="仿宋" w:hAnsi="仿宋" w:eastAsia="仿宋" w:cs="仿宋"/>
                <w:color w:val="auto"/>
                <w:spacing w:val="-8"/>
                <w:kern w:val="2"/>
                <w:sz w:val="21"/>
                <w:szCs w:val="21"/>
              </w:rPr>
            </w:pPr>
            <w:r>
              <w:rPr>
                <w:rFonts w:hint="eastAsia" w:ascii="仿宋" w:hAnsi="仿宋" w:eastAsia="仿宋" w:cs="仿宋"/>
                <w:color w:val="auto"/>
                <w:spacing w:val="-8"/>
                <w:szCs w:val="21"/>
              </w:rPr>
              <w:t>价格部分(20分)</w:t>
            </w:r>
          </w:p>
        </w:tc>
        <w:tc>
          <w:tcPr>
            <w:tcW w:w="1115" w:type="dxa"/>
            <w:vAlign w:val="center"/>
          </w:tcPr>
          <w:p>
            <w:pPr>
              <w:adjustRightInd w:val="0"/>
              <w:snapToGrid w:val="0"/>
              <w:jc w:val="center"/>
              <w:rPr>
                <w:rFonts w:ascii="仿宋" w:hAnsi="仿宋" w:eastAsia="仿宋" w:cs="仿宋"/>
                <w:color w:val="auto"/>
                <w:spacing w:val="-8"/>
                <w:kern w:val="2"/>
                <w:sz w:val="21"/>
                <w:szCs w:val="21"/>
              </w:rPr>
            </w:pPr>
            <w:r>
              <w:rPr>
                <w:rFonts w:hint="eastAsia" w:ascii="仿宋" w:hAnsi="仿宋" w:eastAsia="仿宋" w:cs="仿宋"/>
                <w:color w:val="auto"/>
                <w:spacing w:val="-8"/>
                <w:szCs w:val="21"/>
              </w:rPr>
              <w:t>报价得分</w:t>
            </w:r>
          </w:p>
        </w:tc>
        <w:tc>
          <w:tcPr>
            <w:tcW w:w="939" w:type="dxa"/>
            <w:vAlign w:val="center"/>
          </w:tcPr>
          <w:p>
            <w:pPr>
              <w:adjustRightInd w:val="0"/>
              <w:snapToGrid w:val="0"/>
              <w:jc w:val="center"/>
              <w:rPr>
                <w:rFonts w:ascii="仿宋" w:hAnsi="仿宋" w:eastAsia="仿宋" w:cs="仿宋"/>
                <w:color w:val="auto"/>
                <w:spacing w:val="-8"/>
                <w:kern w:val="2"/>
                <w:sz w:val="21"/>
                <w:szCs w:val="21"/>
              </w:rPr>
            </w:pPr>
            <w:r>
              <w:rPr>
                <w:rFonts w:hint="eastAsia" w:ascii="仿宋" w:hAnsi="仿宋" w:eastAsia="仿宋" w:cs="仿宋"/>
                <w:color w:val="auto"/>
                <w:spacing w:val="-8"/>
                <w:szCs w:val="21"/>
              </w:rPr>
              <w:t>20分</w:t>
            </w:r>
          </w:p>
        </w:tc>
        <w:tc>
          <w:tcPr>
            <w:tcW w:w="5884" w:type="dxa"/>
            <w:vAlign w:val="center"/>
          </w:tcPr>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基准价的确定办法为：若有效磋商大于五家，基准价为各有效磋商的磋商报价中，去掉一个最高报价和一个最低报价后的算术平均值。若有效磋商少于五家（含五家），则以所有有效磋商的磋商报价的算术平均值为基准价。报价得分为：</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（1）磋商报价低于基准价的,每低于1%扣0.2分；</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该项记分公式为：K=20-｛(Q-q)/Q｝×100×0.2(0≤K≤20)；</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（2）磋商报价高于基准价的,每高于1%扣0.5分；</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该项记分公式为：K=20+｛(Q-q)/Q｝×100×0.5（0≤K≤20)；</w:t>
            </w:r>
          </w:p>
          <w:p>
            <w:pPr>
              <w:adjustRightInd w:val="0"/>
              <w:snapToGrid w:val="0"/>
              <w:jc w:val="left"/>
              <w:rPr>
                <w:rFonts w:ascii="仿宋" w:hAnsi="仿宋" w:eastAsia="仿宋" w:cs="仿宋"/>
                <w:color w:val="auto"/>
                <w:spacing w:val="-8"/>
                <w:kern w:val="2"/>
                <w:sz w:val="21"/>
                <w:szCs w:val="21"/>
              </w:rPr>
            </w:pPr>
            <w:r>
              <w:rPr>
                <w:rFonts w:hint="eastAsia" w:ascii="仿宋" w:hAnsi="仿宋" w:eastAsia="仿宋" w:cs="仿宋"/>
                <w:color w:val="auto"/>
                <w:spacing w:val="-8"/>
                <w:szCs w:val="21"/>
              </w:rPr>
              <w:t>以上公式中：q——评审价，Q——基准价（按四舍五入原则精确到小数点后两位）；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Merge w:val="restart"/>
            <w:vAlign w:val="center"/>
          </w:tcPr>
          <w:p>
            <w:pPr>
              <w:spacing w:line="360" w:lineRule="auto"/>
              <w:jc w:val="center"/>
              <w:rPr>
                <w:rFonts w:ascii="仿宋" w:hAnsi="仿宋" w:eastAsia="仿宋" w:cs="仿宋"/>
                <w:color w:val="auto"/>
                <w:szCs w:val="21"/>
              </w:rPr>
            </w:pPr>
            <w:r>
              <w:rPr>
                <w:rFonts w:hint="eastAsia" w:ascii="仿宋" w:hAnsi="仿宋" w:eastAsia="仿宋" w:cs="仿宋"/>
                <w:color w:val="auto"/>
                <w:szCs w:val="21"/>
              </w:rPr>
              <w:t>商务部分（30分</w:t>
            </w:r>
            <w:r>
              <w:rPr>
                <w:rFonts w:hint="eastAsia" w:ascii="仿宋" w:hAnsi="仿宋" w:eastAsia="仿宋" w:cs="仿宋"/>
                <w:color w:val="auto"/>
              </w:rPr>
              <w:t>）</w:t>
            </w:r>
          </w:p>
        </w:tc>
        <w:tc>
          <w:tcPr>
            <w:tcW w:w="1115"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企业业绩</w:t>
            </w:r>
          </w:p>
        </w:tc>
        <w:tc>
          <w:tcPr>
            <w:tcW w:w="939"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10</w:t>
            </w:r>
          </w:p>
        </w:tc>
        <w:tc>
          <w:tcPr>
            <w:tcW w:w="5884" w:type="dxa"/>
            <w:vAlign w:val="center"/>
          </w:tcPr>
          <w:p>
            <w:pPr>
              <w:adjustRightInd w:val="0"/>
              <w:snapToGrid w:val="0"/>
              <w:rPr>
                <w:rFonts w:ascii="仿宋" w:hAnsi="仿宋" w:eastAsia="仿宋" w:cs="仿宋"/>
                <w:color w:val="auto"/>
                <w:spacing w:val="-8"/>
                <w:szCs w:val="21"/>
              </w:rPr>
            </w:pPr>
            <w:r>
              <w:rPr>
                <w:rFonts w:hint="eastAsia" w:ascii="仿宋" w:hAnsi="仿宋" w:eastAsia="仿宋" w:cs="仿宋"/>
                <w:color w:val="auto"/>
                <w:spacing w:val="-8"/>
                <w:szCs w:val="21"/>
              </w:rPr>
              <w:t>投标人近三年（自磋商响应文件递交截止时间前36个月，以合同签订时间为准）每承接过一项矿业权评估、矿业类资产评估等类似业务得2分，最高得10分。须提供相关合同(含合同首页、标的页、签字页等关键内容)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Merge w:val="continue"/>
            <w:vAlign w:val="center"/>
          </w:tcPr>
          <w:p>
            <w:pPr>
              <w:spacing w:line="360" w:lineRule="auto"/>
              <w:jc w:val="center"/>
              <w:rPr>
                <w:rFonts w:ascii="仿宋" w:hAnsi="仿宋" w:eastAsia="仿宋" w:cs="仿宋"/>
                <w:color w:val="auto"/>
                <w:szCs w:val="21"/>
              </w:rPr>
            </w:pPr>
          </w:p>
        </w:tc>
        <w:tc>
          <w:tcPr>
            <w:tcW w:w="1115"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项目负责人</w:t>
            </w:r>
          </w:p>
        </w:tc>
        <w:tc>
          <w:tcPr>
            <w:tcW w:w="939"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10</w:t>
            </w:r>
          </w:p>
        </w:tc>
        <w:tc>
          <w:tcPr>
            <w:tcW w:w="5884" w:type="dxa"/>
            <w:vAlign w:val="center"/>
          </w:tcPr>
          <w:p>
            <w:pPr>
              <w:adjustRightInd w:val="0"/>
              <w:snapToGrid w:val="0"/>
              <w:rPr>
                <w:rFonts w:ascii="仿宋" w:hAnsi="仿宋" w:eastAsia="仿宋" w:cs="仿宋"/>
                <w:color w:val="auto"/>
                <w:spacing w:val="-8"/>
                <w:szCs w:val="21"/>
              </w:rPr>
            </w:pPr>
            <w:r>
              <w:rPr>
                <w:rFonts w:hint="eastAsia" w:ascii="仿宋" w:hAnsi="仿宋" w:eastAsia="仿宋" w:cs="仿宋"/>
                <w:color w:val="auto"/>
                <w:spacing w:val="-8"/>
                <w:szCs w:val="21"/>
              </w:rPr>
              <w:t>本项目负责人</w:t>
            </w:r>
          </w:p>
          <w:p>
            <w:pPr>
              <w:pStyle w:val="14"/>
              <w:numPr>
                <w:ilvl w:val="0"/>
                <w:numId w:val="3"/>
              </w:numPr>
              <w:ind w:firstLine="224"/>
              <w:rPr>
                <w:rFonts w:ascii="仿宋" w:hAnsi="仿宋" w:eastAsia="仿宋" w:cs="仿宋"/>
                <w:color w:val="auto"/>
                <w:spacing w:val="-8"/>
                <w:sz w:val="24"/>
                <w:szCs w:val="21"/>
              </w:rPr>
            </w:pPr>
            <w:r>
              <w:rPr>
                <w:rFonts w:hint="eastAsia" w:ascii="仿宋" w:hAnsi="仿宋" w:eastAsia="仿宋" w:cs="仿宋"/>
                <w:color w:val="auto"/>
                <w:spacing w:val="-8"/>
                <w:sz w:val="24"/>
                <w:szCs w:val="21"/>
              </w:rPr>
              <w:t>具有中级及以上职称，得</w:t>
            </w:r>
            <w:r>
              <w:rPr>
                <w:rFonts w:ascii="仿宋" w:hAnsi="仿宋" w:eastAsia="仿宋" w:cs="仿宋"/>
                <w:color w:val="auto"/>
                <w:spacing w:val="-8"/>
                <w:sz w:val="24"/>
                <w:szCs w:val="21"/>
              </w:rPr>
              <w:t>6</w:t>
            </w:r>
            <w:r>
              <w:rPr>
                <w:rFonts w:hint="eastAsia" w:ascii="仿宋" w:hAnsi="仿宋" w:eastAsia="仿宋" w:cs="仿宋"/>
                <w:color w:val="auto"/>
                <w:spacing w:val="-8"/>
                <w:sz w:val="24"/>
                <w:szCs w:val="21"/>
              </w:rPr>
              <w:t>分；</w:t>
            </w:r>
          </w:p>
          <w:p>
            <w:pPr>
              <w:numPr>
                <w:ilvl w:val="0"/>
                <w:numId w:val="3"/>
              </w:numPr>
              <w:adjustRightInd w:val="0"/>
              <w:snapToGrid w:val="0"/>
              <w:rPr>
                <w:rFonts w:ascii="仿宋" w:hAnsi="仿宋" w:eastAsia="仿宋" w:cs="仿宋"/>
                <w:color w:val="auto"/>
                <w:spacing w:val="-8"/>
                <w:szCs w:val="21"/>
              </w:rPr>
            </w:pPr>
            <w:r>
              <w:rPr>
                <w:rFonts w:hint="eastAsia" w:ascii="仿宋" w:hAnsi="仿宋" w:eastAsia="仿宋" w:cs="仿宋"/>
                <w:color w:val="auto"/>
                <w:spacing w:val="-8"/>
                <w:szCs w:val="21"/>
              </w:rPr>
              <w:t>同时具有资产评估师和矿业权评估师得4分。</w:t>
            </w:r>
          </w:p>
          <w:p>
            <w:pPr>
              <w:adjustRightInd w:val="0"/>
              <w:snapToGrid w:val="0"/>
              <w:rPr>
                <w:rFonts w:ascii="仿宋" w:hAnsi="仿宋" w:eastAsia="仿宋" w:cs="仿宋"/>
                <w:color w:val="auto"/>
                <w:spacing w:val="-8"/>
                <w:szCs w:val="21"/>
              </w:rPr>
            </w:pPr>
            <w:r>
              <w:rPr>
                <w:rFonts w:hint="eastAsia" w:ascii="仿宋" w:hAnsi="仿宋" w:eastAsia="仿宋" w:cs="仿宋"/>
                <w:color w:val="auto"/>
                <w:spacing w:val="-8"/>
                <w:szCs w:val="21"/>
              </w:rPr>
              <w:t>需提供相关人员有效的证明材料复印件。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851" w:type="dxa"/>
            <w:vMerge w:val="continue"/>
            <w:vAlign w:val="center"/>
          </w:tcPr>
          <w:p>
            <w:pPr>
              <w:spacing w:line="360" w:lineRule="auto"/>
              <w:jc w:val="center"/>
              <w:rPr>
                <w:rFonts w:ascii="仿宋" w:hAnsi="仿宋" w:eastAsia="仿宋" w:cs="仿宋"/>
                <w:color w:val="auto"/>
                <w:szCs w:val="21"/>
              </w:rPr>
            </w:pPr>
          </w:p>
        </w:tc>
        <w:tc>
          <w:tcPr>
            <w:tcW w:w="1115"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成员结构与配置</w:t>
            </w:r>
          </w:p>
        </w:tc>
        <w:tc>
          <w:tcPr>
            <w:tcW w:w="939"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10</w:t>
            </w:r>
          </w:p>
        </w:tc>
        <w:tc>
          <w:tcPr>
            <w:tcW w:w="5884" w:type="dxa"/>
            <w:vAlign w:val="center"/>
          </w:tcPr>
          <w:p>
            <w:pPr>
              <w:adjustRightInd w:val="0"/>
              <w:snapToGrid w:val="0"/>
              <w:rPr>
                <w:rFonts w:ascii="仿宋" w:hAnsi="仿宋" w:eastAsia="仿宋" w:cs="仿宋"/>
                <w:color w:val="auto"/>
                <w:spacing w:val="-8"/>
                <w:szCs w:val="21"/>
              </w:rPr>
            </w:pPr>
            <w:r>
              <w:rPr>
                <w:rFonts w:hint="eastAsia" w:ascii="仿宋" w:hAnsi="仿宋" w:eastAsia="仿宋" w:cs="仿宋"/>
                <w:color w:val="auto"/>
                <w:spacing w:val="-8"/>
                <w:szCs w:val="21"/>
              </w:rPr>
              <w:t>本项目除项目负责人以外</w:t>
            </w:r>
          </w:p>
          <w:p>
            <w:pPr>
              <w:adjustRightInd w:val="0"/>
              <w:snapToGrid w:val="0"/>
              <w:rPr>
                <w:rFonts w:ascii="仿宋" w:hAnsi="仿宋" w:eastAsia="仿宋" w:cs="仿宋"/>
                <w:color w:val="auto"/>
                <w:spacing w:val="-8"/>
                <w:szCs w:val="21"/>
              </w:rPr>
            </w:pPr>
            <w:r>
              <w:rPr>
                <w:rFonts w:hint="eastAsia" w:ascii="仿宋" w:hAnsi="仿宋" w:eastAsia="仿宋" w:cs="仿宋"/>
                <w:color w:val="auto"/>
                <w:spacing w:val="-8"/>
                <w:szCs w:val="21"/>
              </w:rPr>
              <w:t>（1）拟派项目组成员每增加一名持有矿业权评估师证书得2分，此项最多得6分；</w:t>
            </w:r>
          </w:p>
          <w:p>
            <w:pPr>
              <w:adjustRightInd w:val="0"/>
              <w:snapToGrid w:val="0"/>
              <w:rPr>
                <w:rFonts w:ascii="仿宋" w:hAnsi="仿宋" w:eastAsia="仿宋" w:cs="仿宋"/>
                <w:color w:val="auto"/>
                <w:spacing w:val="-8"/>
                <w:szCs w:val="21"/>
              </w:rPr>
            </w:pPr>
            <w:r>
              <w:rPr>
                <w:rFonts w:hint="eastAsia" w:ascii="仿宋" w:hAnsi="仿宋" w:eastAsia="仿宋" w:cs="仿宋"/>
                <w:color w:val="auto"/>
                <w:spacing w:val="-8"/>
                <w:szCs w:val="21"/>
              </w:rPr>
              <w:t>（2）拟派项目组成员每增加一名持有资产评估师证书得2分，此项最多得4分；</w:t>
            </w:r>
          </w:p>
          <w:p>
            <w:pPr>
              <w:adjustRightInd w:val="0"/>
              <w:snapToGrid w:val="0"/>
              <w:rPr>
                <w:rFonts w:ascii="仿宋" w:hAnsi="仿宋" w:eastAsia="仿宋" w:cs="仿宋"/>
                <w:color w:val="auto"/>
                <w:spacing w:val="-8"/>
                <w:szCs w:val="21"/>
              </w:rPr>
            </w:pPr>
            <w:r>
              <w:rPr>
                <w:rFonts w:hint="eastAsia" w:ascii="仿宋" w:hAnsi="仿宋" w:eastAsia="仿宋" w:cs="仿宋"/>
                <w:color w:val="auto"/>
                <w:spacing w:val="-8"/>
                <w:szCs w:val="21"/>
              </w:rPr>
              <w:t>（3）拟派驻人员同时满足上述两个条件时可以累计得分。</w:t>
            </w:r>
          </w:p>
          <w:p>
            <w:pPr>
              <w:adjustRightInd w:val="0"/>
              <w:snapToGrid w:val="0"/>
              <w:rPr>
                <w:rFonts w:ascii="仿宋" w:hAnsi="仿宋" w:eastAsia="仿宋" w:cs="仿宋"/>
                <w:color w:val="auto"/>
                <w:spacing w:val="-8"/>
                <w:szCs w:val="21"/>
              </w:rPr>
            </w:pPr>
            <w:r>
              <w:rPr>
                <w:rFonts w:hint="eastAsia" w:ascii="仿宋" w:hAnsi="仿宋" w:eastAsia="仿宋" w:cs="仿宋"/>
                <w:color w:val="auto"/>
                <w:spacing w:val="-8"/>
                <w:szCs w:val="21"/>
              </w:rPr>
              <w:t>需提供相关人员有效的证明材料复印件。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Merge w:val="restart"/>
            <w:vAlign w:val="center"/>
          </w:tcPr>
          <w:p>
            <w:pPr>
              <w:spacing w:line="360" w:lineRule="auto"/>
              <w:rPr>
                <w:rFonts w:ascii="仿宋" w:hAnsi="仿宋" w:eastAsia="仿宋" w:cs="仿宋"/>
                <w:color w:val="auto"/>
                <w:szCs w:val="21"/>
              </w:rPr>
            </w:pPr>
            <w:r>
              <w:rPr>
                <w:rFonts w:hint="eastAsia" w:ascii="仿宋" w:hAnsi="仿宋" w:eastAsia="仿宋" w:cs="仿宋"/>
                <w:color w:val="auto"/>
                <w:szCs w:val="21"/>
              </w:rPr>
              <w:t>技术部分(50分)</w:t>
            </w:r>
          </w:p>
        </w:tc>
        <w:tc>
          <w:tcPr>
            <w:tcW w:w="1115"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对本项目的理解</w:t>
            </w:r>
          </w:p>
        </w:tc>
        <w:tc>
          <w:tcPr>
            <w:tcW w:w="939"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20</w:t>
            </w:r>
          </w:p>
        </w:tc>
        <w:tc>
          <w:tcPr>
            <w:tcW w:w="5884" w:type="dxa"/>
            <w:vAlign w:val="center"/>
          </w:tcPr>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投标人对项目需求的理解程度。</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对本项目认知理解十分精准，合理得20-15分；</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对本项目认知理解较为准确，得14-8分；</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对本项目认知理解贴合本项目要求，基本符合实际得7-1分；</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对本项目认知理解有误，不能满足项目要求得0分。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Merge w:val="continue"/>
            <w:vAlign w:val="center"/>
          </w:tcPr>
          <w:p>
            <w:pPr>
              <w:spacing w:line="360" w:lineRule="auto"/>
              <w:rPr>
                <w:rFonts w:ascii="仿宋" w:hAnsi="仿宋" w:eastAsia="仿宋" w:cs="仿宋"/>
                <w:color w:val="auto"/>
                <w:szCs w:val="21"/>
              </w:rPr>
            </w:pPr>
          </w:p>
        </w:tc>
        <w:tc>
          <w:tcPr>
            <w:tcW w:w="1115"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工作的内容与思路</w:t>
            </w:r>
          </w:p>
        </w:tc>
        <w:tc>
          <w:tcPr>
            <w:tcW w:w="939"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15</w:t>
            </w:r>
          </w:p>
        </w:tc>
        <w:tc>
          <w:tcPr>
            <w:tcW w:w="5884" w:type="dxa"/>
            <w:vAlign w:val="center"/>
          </w:tcPr>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分析工作的内容、技术思路的合理性，是否满足采购人要求。</w:t>
            </w:r>
          </w:p>
          <w:p>
            <w:pPr>
              <w:tabs>
                <w:tab w:val="left" w:pos="4944"/>
              </w:tabs>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工作方案完整、清晰、可行得15-11分；</w:t>
            </w:r>
          </w:p>
          <w:p>
            <w:pPr>
              <w:tabs>
                <w:tab w:val="left" w:pos="4944"/>
              </w:tabs>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工作方案较合理、较可行得10-6分；</w:t>
            </w:r>
          </w:p>
          <w:p>
            <w:pPr>
              <w:tabs>
                <w:tab w:val="left" w:pos="4944"/>
              </w:tabs>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工作方案不清晰、不明确得5-1分；</w:t>
            </w:r>
          </w:p>
          <w:p>
            <w:pPr>
              <w:tabs>
                <w:tab w:val="left" w:pos="4944"/>
              </w:tabs>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工作方案不合理，不可行得0分。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Merge w:val="continue"/>
            <w:vAlign w:val="center"/>
          </w:tcPr>
          <w:p>
            <w:pPr>
              <w:spacing w:line="360" w:lineRule="auto"/>
              <w:rPr>
                <w:rFonts w:ascii="仿宋" w:hAnsi="仿宋" w:eastAsia="仿宋" w:cs="仿宋"/>
                <w:color w:val="auto"/>
                <w:szCs w:val="21"/>
              </w:rPr>
            </w:pPr>
          </w:p>
        </w:tc>
        <w:tc>
          <w:tcPr>
            <w:tcW w:w="1115"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设备配备</w:t>
            </w:r>
          </w:p>
        </w:tc>
        <w:tc>
          <w:tcPr>
            <w:tcW w:w="939"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5</w:t>
            </w:r>
          </w:p>
        </w:tc>
        <w:tc>
          <w:tcPr>
            <w:tcW w:w="5884" w:type="dxa"/>
            <w:vAlign w:val="center"/>
          </w:tcPr>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拟投入本项目装备配置、工具与计算机软、硬件配备及其应用情况满足需求。</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以上内容完全达到上述要求得5-4分；</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以上内容基本满足要求得3-1分；</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以上内容不合理，不可行得0分。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Merge w:val="continue"/>
            <w:vAlign w:val="center"/>
          </w:tcPr>
          <w:p>
            <w:pPr>
              <w:spacing w:line="360" w:lineRule="auto"/>
              <w:rPr>
                <w:rFonts w:ascii="仿宋" w:hAnsi="仿宋" w:eastAsia="仿宋" w:cs="仿宋"/>
                <w:color w:val="auto"/>
                <w:szCs w:val="21"/>
              </w:rPr>
            </w:pPr>
          </w:p>
        </w:tc>
        <w:tc>
          <w:tcPr>
            <w:tcW w:w="1115"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进度计划和保证措施</w:t>
            </w:r>
          </w:p>
        </w:tc>
        <w:tc>
          <w:tcPr>
            <w:tcW w:w="939"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5</w:t>
            </w:r>
          </w:p>
        </w:tc>
        <w:tc>
          <w:tcPr>
            <w:tcW w:w="5884" w:type="dxa"/>
            <w:vAlign w:val="center"/>
          </w:tcPr>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分析工作进度计划和保证措施的合理性。进度计划在合同签订后15日内提交成果报告。</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措施完整、合理、可行得5-4分；</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措施较合理、较可行得3-1分；</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措施不合理，不可行得0分。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Merge w:val="continue"/>
            <w:vAlign w:val="center"/>
          </w:tcPr>
          <w:p>
            <w:pPr>
              <w:spacing w:line="360" w:lineRule="auto"/>
              <w:rPr>
                <w:rFonts w:ascii="仿宋" w:hAnsi="仿宋" w:eastAsia="仿宋" w:cs="仿宋"/>
                <w:color w:val="auto"/>
                <w:szCs w:val="21"/>
              </w:rPr>
            </w:pPr>
          </w:p>
        </w:tc>
        <w:tc>
          <w:tcPr>
            <w:tcW w:w="1115"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质量保证体系与措施</w:t>
            </w:r>
          </w:p>
        </w:tc>
        <w:tc>
          <w:tcPr>
            <w:tcW w:w="939" w:type="dxa"/>
            <w:vAlign w:val="center"/>
          </w:tcPr>
          <w:p>
            <w:pPr>
              <w:adjustRightInd w:val="0"/>
              <w:snapToGrid w:val="0"/>
              <w:jc w:val="center"/>
              <w:rPr>
                <w:rFonts w:ascii="仿宋" w:hAnsi="仿宋" w:eastAsia="仿宋" w:cs="仿宋"/>
                <w:color w:val="auto"/>
                <w:spacing w:val="-8"/>
                <w:szCs w:val="21"/>
              </w:rPr>
            </w:pPr>
            <w:r>
              <w:rPr>
                <w:rFonts w:hint="eastAsia" w:ascii="仿宋" w:hAnsi="仿宋" w:eastAsia="仿宋" w:cs="仿宋"/>
                <w:color w:val="auto"/>
                <w:spacing w:val="-8"/>
                <w:szCs w:val="21"/>
              </w:rPr>
              <w:t>5</w:t>
            </w:r>
          </w:p>
        </w:tc>
        <w:tc>
          <w:tcPr>
            <w:tcW w:w="5884" w:type="dxa"/>
            <w:vAlign w:val="center"/>
          </w:tcPr>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评估工作质量保证体系与措施的有效性。</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措施完整、合理、可行得5-4分；</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措施较合理、较可行得3-1分；</w:t>
            </w:r>
          </w:p>
          <w:p>
            <w:pPr>
              <w:adjustRightInd w:val="0"/>
              <w:snapToGrid w:val="0"/>
              <w:jc w:val="left"/>
              <w:rPr>
                <w:rFonts w:ascii="仿宋" w:hAnsi="仿宋" w:eastAsia="仿宋" w:cs="仿宋"/>
                <w:color w:val="auto"/>
                <w:spacing w:val="-8"/>
                <w:szCs w:val="21"/>
              </w:rPr>
            </w:pPr>
            <w:r>
              <w:rPr>
                <w:rFonts w:hint="eastAsia" w:ascii="仿宋" w:hAnsi="仿宋" w:eastAsia="仿宋" w:cs="仿宋"/>
                <w:color w:val="auto"/>
                <w:spacing w:val="-8"/>
                <w:szCs w:val="21"/>
              </w:rPr>
              <w:t>措施不合理，不可行得0分。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851" w:type="dxa"/>
            <w:vAlign w:val="center"/>
          </w:tcPr>
          <w:p>
            <w:pPr>
              <w:spacing w:line="360" w:lineRule="auto"/>
              <w:jc w:val="center"/>
              <w:rPr>
                <w:rFonts w:ascii="仿宋" w:hAnsi="仿宋" w:eastAsia="仿宋" w:cs="仿宋"/>
                <w:color w:val="auto"/>
                <w:szCs w:val="21"/>
              </w:rPr>
            </w:pPr>
            <w:r>
              <w:rPr>
                <w:rFonts w:hint="eastAsia" w:ascii="仿宋" w:hAnsi="仿宋" w:eastAsia="仿宋" w:cs="仿宋"/>
                <w:color w:val="auto"/>
                <w:szCs w:val="21"/>
              </w:rPr>
              <w:t>合计</w:t>
            </w:r>
          </w:p>
        </w:tc>
        <w:tc>
          <w:tcPr>
            <w:tcW w:w="7938" w:type="dxa"/>
            <w:gridSpan w:val="3"/>
            <w:vAlign w:val="center"/>
          </w:tcPr>
          <w:p>
            <w:pPr>
              <w:spacing w:line="360" w:lineRule="auto"/>
              <w:jc w:val="center"/>
              <w:rPr>
                <w:rFonts w:ascii="仿宋" w:hAnsi="仿宋" w:eastAsia="仿宋" w:cs="仿宋"/>
                <w:color w:val="auto"/>
                <w:szCs w:val="21"/>
              </w:rPr>
            </w:pPr>
            <w:r>
              <w:rPr>
                <w:rFonts w:hint="eastAsia" w:ascii="仿宋" w:hAnsi="仿宋" w:eastAsia="仿宋" w:cs="仿宋"/>
                <w:color w:val="auto"/>
                <w:szCs w:val="21"/>
              </w:rPr>
              <w:t>100分</w:t>
            </w:r>
          </w:p>
        </w:tc>
      </w:tr>
    </w:tbl>
    <w:p>
      <w:pPr>
        <w:pStyle w:val="14"/>
        <w:ind w:firstLine="0" w:firstLineChars="0"/>
        <w:rPr>
          <w:rFonts w:ascii="仿宋" w:hAnsi="仿宋" w:eastAsia="仿宋" w:cs="仿宋"/>
          <w:color w:val="auto"/>
        </w:rPr>
      </w:pP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（三）计分办法：</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1.评标委员会成员按照招标文件的要求给投标人打分，并按下列公式确定各投标人的评定分数:评定分数=商务标得分+技术标得分+价格部分得分。</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2.各投标人的最终得分为各评委所评定分数的算术平均值。</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3.各项统计、评分结果均按四舍五入方法精确到小数点后二位。</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评标完成后，评标委员会应当根据综合评分情况，按照评审得分由高到低顺序推荐3名中标候选人，并编写评标报告。评审得分相同的，按照最后报价由低到高的顺序推荐。评审得分且最后报价相同的，按照技术指标优劣顺序推荐。</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（四）技术标部分格式</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技术文件至少包括（但不限于）如下内容：</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1、工作方案描述；</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2、主要设计和技术要求；本招标项目特点、难点、重点等的技术分析和处理措施等；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3、项目的组织机构；</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4、工作质量保证体系及措施和技术手段，以及建设项目开始实施后，实施方对后续服务的承诺及其他承诺；</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5、项目进度计划，对本项目总体进度计划、对关键点进度控制的可行性和保证措施；</w:t>
      </w:r>
    </w:p>
    <w:p>
      <w:pPr>
        <w:ind w:firstLine="640" w:firstLineChars="200"/>
        <w:rPr>
          <w:rFonts w:ascii="仿宋" w:hAnsi="仿宋" w:eastAsia="仿宋" w:cs="仿宋"/>
          <w:color w:val="auto"/>
        </w:rPr>
      </w:pPr>
      <w:r>
        <w:rPr>
          <w:rFonts w:hint="eastAsia" w:ascii="仿宋" w:hAnsi="仿宋" w:eastAsia="仿宋" w:cs="仿宋"/>
          <w:color w:val="auto"/>
          <w:sz w:val="32"/>
          <w:szCs w:val="32"/>
        </w:rPr>
        <w:t>6、投标人对项目设计的其他优势，以及对本项目设计的合理化建议。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310FD000-638A-4C86-BC37-503CB3C6678D}"/>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1</w:t>
    </w:r>
    <w: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A606EE"/>
    <w:multiLevelType w:val="singleLevel"/>
    <w:tmpl w:val="14A606EE"/>
    <w:lvl w:ilvl="0" w:tentative="0">
      <w:start w:val="1"/>
      <w:numFmt w:val="chineseCounting"/>
      <w:suff w:val="nothing"/>
      <w:lvlText w:val="%1、"/>
      <w:lvlJc w:val="left"/>
      <w:rPr>
        <w:rFonts w:hint="eastAsia"/>
      </w:rPr>
    </w:lvl>
  </w:abstractNum>
  <w:abstractNum w:abstractNumId="1">
    <w:nsid w:val="371BDC40"/>
    <w:multiLevelType w:val="singleLevel"/>
    <w:tmpl w:val="371BDC40"/>
    <w:lvl w:ilvl="0" w:tentative="0">
      <w:start w:val="5"/>
      <w:numFmt w:val="chineseCounting"/>
      <w:suff w:val="nothing"/>
      <w:lvlText w:val="（%1）"/>
      <w:lvlJc w:val="left"/>
      <w:rPr>
        <w:rFonts w:hint="eastAsia"/>
      </w:rPr>
    </w:lvl>
  </w:abstractNum>
  <w:abstractNum w:abstractNumId="2">
    <w:nsid w:val="40E9DC6C"/>
    <w:multiLevelType w:val="singleLevel"/>
    <w:tmpl w:val="40E9DC6C"/>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zYTgxNWFkZGI4YzJhYzgwY2IyMDgwMTdjY2RiNTQifQ=="/>
  </w:docVars>
  <w:rsids>
    <w:rsidRoot w:val="03C54BEC"/>
    <w:rsid w:val="00090F47"/>
    <w:rsid w:val="00092759"/>
    <w:rsid w:val="00147BF8"/>
    <w:rsid w:val="001A504D"/>
    <w:rsid w:val="004D0787"/>
    <w:rsid w:val="006325C5"/>
    <w:rsid w:val="00817A07"/>
    <w:rsid w:val="00841958"/>
    <w:rsid w:val="00925D7A"/>
    <w:rsid w:val="00AC51C9"/>
    <w:rsid w:val="00D90A4F"/>
    <w:rsid w:val="00E97F58"/>
    <w:rsid w:val="022C7EFC"/>
    <w:rsid w:val="0278711C"/>
    <w:rsid w:val="03C54BEC"/>
    <w:rsid w:val="05551D4C"/>
    <w:rsid w:val="0A550002"/>
    <w:rsid w:val="0BD64D7E"/>
    <w:rsid w:val="0BEA403A"/>
    <w:rsid w:val="0BFD1223"/>
    <w:rsid w:val="0C0011B9"/>
    <w:rsid w:val="0D0E5602"/>
    <w:rsid w:val="0D2A3ABE"/>
    <w:rsid w:val="0E002722"/>
    <w:rsid w:val="10EA5A3E"/>
    <w:rsid w:val="13E31AAE"/>
    <w:rsid w:val="14EB629A"/>
    <w:rsid w:val="18BD4380"/>
    <w:rsid w:val="1A921627"/>
    <w:rsid w:val="1D1866C7"/>
    <w:rsid w:val="22EC3898"/>
    <w:rsid w:val="2A107B18"/>
    <w:rsid w:val="339C59D1"/>
    <w:rsid w:val="35F745D6"/>
    <w:rsid w:val="379D0FA7"/>
    <w:rsid w:val="38C2711D"/>
    <w:rsid w:val="3B1C09F4"/>
    <w:rsid w:val="467632F5"/>
    <w:rsid w:val="46C25D0A"/>
    <w:rsid w:val="476F66C2"/>
    <w:rsid w:val="4801045E"/>
    <w:rsid w:val="4B1650A7"/>
    <w:rsid w:val="4D97348C"/>
    <w:rsid w:val="53111A7D"/>
    <w:rsid w:val="546E6E1F"/>
    <w:rsid w:val="591946E0"/>
    <w:rsid w:val="5B3F1D42"/>
    <w:rsid w:val="5D2669E0"/>
    <w:rsid w:val="5D617D3E"/>
    <w:rsid w:val="5F7B7B43"/>
    <w:rsid w:val="641D6272"/>
    <w:rsid w:val="65847385"/>
    <w:rsid w:val="71003969"/>
    <w:rsid w:val="743E0DEC"/>
    <w:rsid w:val="74A94712"/>
    <w:rsid w:val="78917997"/>
    <w:rsid w:val="7AF34151"/>
    <w:rsid w:val="7C641C44"/>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sz w:val="24"/>
      <w:szCs w:val="24"/>
      <w:lang w:val="en-US" w:eastAsia="zh-CN" w:bidi="ar-SA"/>
    </w:rPr>
  </w:style>
  <w:style w:type="paragraph" w:styleId="3">
    <w:name w:val="heading 2"/>
    <w:basedOn w:val="1"/>
    <w:next w:val="1"/>
    <w:semiHidden/>
    <w:unhideWhenUsed/>
    <w:qFormat/>
    <w:uiPriority w:val="0"/>
    <w:pPr>
      <w:keepNext/>
      <w:keepLines/>
      <w:snapToGrid w:val="0"/>
      <w:spacing w:line="360" w:lineRule="auto"/>
      <w:outlineLvl w:val="1"/>
    </w:pPr>
    <w:rPr>
      <w:rFonts w:ascii="Times New Roman" w:hAnsi="Times New Roman" w:eastAsia="黑体"/>
      <w:b/>
      <w:kern w:val="2"/>
      <w:sz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pPr>
      <w:tabs>
        <w:tab w:val="right" w:leader="dot" w:pos="8302"/>
      </w:tabs>
      <w:spacing w:line="440" w:lineRule="exact"/>
      <w:jc w:val="left"/>
    </w:pPr>
    <w:rPr>
      <w:color w:val="000000"/>
      <w:szCs w:val="21"/>
    </w:rPr>
  </w:style>
  <w:style w:type="paragraph" w:styleId="4">
    <w:name w:val="Body Text"/>
    <w:basedOn w:val="1"/>
    <w:next w:val="5"/>
    <w:qFormat/>
    <w:uiPriority w:val="0"/>
    <w:pPr>
      <w:spacing w:after="120"/>
    </w:pPr>
  </w:style>
  <w:style w:type="paragraph" w:styleId="5">
    <w:name w:val="Body Text First Indent"/>
    <w:basedOn w:val="4"/>
    <w:qFormat/>
    <w:uiPriority w:val="0"/>
    <w:pPr>
      <w:ind w:firstLine="420" w:firstLineChars="100"/>
    </w:pPr>
  </w:style>
  <w:style w:type="paragraph" w:styleId="6">
    <w:name w:val="Body Text Indent"/>
    <w:basedOn w:val="1"/>
    <w:qFormat/>
    <w:uiPriority w:val="0"/>
    <w:pPr>
      <w:spacing w:line="440" w:lineRule="exact"/>
      <w:ind w:firstLine="200"/>
    </w:pPr>
    <w:rPr>
      <w:rFonts w:eastAsia="楷体_GB2312"/>
      <w:kern w:val="2"/>
    </w:rPr>
  </w:style>
  <w:style w:type="paragraph" w:styleId="7">
    <w:name w:val="footer"/>
    <w:basedOn w:val="1"/>
    <w:qFormat/>
    <w:uiPriority w:val="99"/>
    <w:pPr>
      <w:tabs>
        <w:tab w:val="center" w:pos="4153"/>
        <w:tab w:val="right" w:pos="8306"/>
      </w:tabs>
      <w:snapToGrid w:val="0"/>
      <w:jc w:val="left"/>
    </w:pPr>
    <w:rPr>
      <w:kern w:val="2"/>
      <w:sz w:val="18"/>
      <w:szCs w:val="18"/>
    </w:rPr>
  </w:style>
  <w:style w:type="paragraph" w:styleId="8">
    <w:name w:val="header"/>
    <w:basedOn w:val="1"/>
    <w:link w:val="18"/>
    <w:qFormat/>
    <w:uiPriority w:val="0"/>
    <w:pP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olor w:val="000000"/>
    </w:rPr>
  </w:style>
  <w:style w:type="paragraph" w:styleId="10">
    <w:name w:val="Title"/>
    <w:basedOn w:val="1"/>
    <w:next w:val="1"/>
    <w:qFormat/>
    <w:uiPriority w:val="0"/>
    <w:pPr>
      <w:spacing w:before="240" w:after="60"/>
      <w:jc w:val="center"/>
      <w:outlineLvl w:val="0"/>
    </w:pPr>
    <w:rPr>
      <w:rFonts w:ascii="Cambria" w:hAnsi="Cambria"/>
      <w:b/>
      <w:bCs/>
      <w:kern w:val="2"/>
      <w:sz w:val="32"/>
      <w:szCs w:val="32"/>
    </w:rPr>
  </w:style>
  <w:style w:type="paragraph" w:styleId="11">
    <w:name w:val="Body Text First Indent 2"/>
    <w:basedOn w:val="6"/>
    <w:qFormat/>
    <w:uiPriority w:val="0"/>
    <w:pPr>
      <w:spacing w:after="120" w:line="240" w:lineRule="auto"/>
      <w:ind w:left="420" w:leftChars="200" w:firstLine="420" w:firstLineChars="200"/>
    </w:pPr>
    <w:rPr>
      <w:rFonts w:eastAsia="宋体"/>
      <w:kern w:val="0"/>
    </w:rPr>
  </w:style>
  <w:style w:type="paragraph" w:customStyle="1" w:styleId="14">
    <w:name w:val="正文文字"/>
    <w:basedOn w:val="5"/>
    <w:next w:val="1"/>
    <w:qFormat/>
    <w:uiPriority w:val="99"/>
    <w:pPr>
      <w:ind w:firstLine="200"/>
    </w:pPr>
    <w:rPr>
      <w:rFonts w:ascii="仿宋_GB2312" w:eastAsia="仿宋_GB2312"/>
      <w:sz w:val="32"/>
      <w:szCs w:val="32"/>
    </w:rPr>
  </w:style>
  <w:style w:type="character" w:customStyle="1" w:styleId="15">
    <w:name w:val="NormalCharacter"/>
    <w:qFormat/>
    <w:uiPriority w:val="0"/>
  </w:style>
  <w:style w:type="paragraph" w:customStyle="1" w:styleId="16">
    <w:name w:val="Table Paragraph"/>
    <w:basedOn w:val="1"/>
    <w:qFormat/>
    <w:uiPriority w:val="1"/>
    <w:pPr>
      <w:jc w:val="left"/>
    </w:pPr>
    <w:rPr>
      <w:sz w:val="22"/>
      <w:szCs w:val="22"/>
      <w:lang w:eastAsia="en-US"/>
    </w:rPr>
  </w:style>
  <w:style w:type="table" w:customStyle="1" w:styleId="17">
    <w:name w:val="Table Normal"/>
    <w:unhideWhenUsed/>
    <w:qFormat/>
    <w:uiPriority w:val="2"/>
    <w:tblPr>
      <w:tblCellMar>
        <w:top w:w="0" w:type="dxa"/>
        <w:left w:w="0" w:type="dxa"/>
        <w:bottom w:w="0" w:type="dxa"/>
        <w:right w:w="0" w:type="dxa"/>
      </w:tblCellMar>
    </w:tblPr>
  </w:style>
  <w:style w:type="character" w:customStyle="1" w:styleId="18">
    <w:name w:val="页眉 字符"/>
    <w:basedOn w:val="13"/>
    <w:link w:val="8"/>
    <w:qFormat/>
    <w:uiPriority w:val="0"/>
    <w:rPr>
      <w:rFonts w:ascii="Calibri" w:hAnsi="Calibr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719</Words>
  <Characters>4103</Characters>
  <Lines>34</Lines>
  <Paragraphs>9</Paragraphs>
  <TotalTime>51</TotalTime>
  <ScaleCrop>false</ScaleCrop>
  <LinksUpToDate>false</LinksUpToDate>
  <CharactersWithSpaces>4813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2023-12-18T07:35:00Z</dcterms:created>
  <dc:creator>admin</dc:creator>
  <cp:lastModifiedBy></cp:lastModifiedBy>
  <cp:lastPrinted>2023-12-26T03:20:00Z</cp:lastPrinted>
  <dcterms:modified xsi:type="dcterms:W3CDTF">2024-01-02T00:47:05Z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4AD9A493CFF545D6B6D0DCDEFDE2EA51_13</vt:lpwstr>
  </property>
</Properties>
</file>