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adjustRightInd w:val="0"/>
        <w:snapToGrid w:val="0"/>
        <w:spacing w:line="360" w:lineRule="auto"/>
        <w:jc w:val="distribute"/>
        <w:rPr>
          <w:b/>
          <w:bCs/>
          <w:sz w:val="56"/>
          <w:szCs w:val="72"/>
          <w:highlight w:val="none"/>
          <w:lang w:val="en-US" w:bidi="ar-SA"/>
        </w:rPr>
      </w:pPr>
      <w:r>
        <w:rPr>
          <w:rFonts w:hint="eastAsia"/>
          <w:b/>
          <w:bCs/>
          <w:sz w:val="56"/>
          <w:szCs w:val="72"/>
          <w:highlight w:val="none"/>
          <w:lang w:val="en-U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-38100</wp:posOffset>
            </wp:positionV>
            <wp:extent cx="762000" cy="771525"/>
            <wp:effectExtent l="0" t="0" r="0" b="9525"/>
            <wp:wrapTight wrapText="bothSides">
              <wp:wrapPolygon>
                <wp:start x="0" y="0"/>
                <wp:lineTo x="0" y="21333"/>
                <wp:lineTo x="21060" y="21333"/>
                <wp:lineTo x="21060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56"/>
          <w:szCs w:val="72"/>
          <w:highlight w:val="none"/>
          <w:lang w:val="en-US" w:bidi="ar-SA"/>
        </w:rPr>
        <w:t xml:space="preserve"> 黄石</w:t>
      </w:r>
      <w:r>
        <w:rPr>
          <w:rFonts w:hint="eastAsia"/>
          <w:b/>
          <w:bCs/>
          <w:sz w:val="56"/>
          <w:szCs w:val="72"/>
          <w:highlight w:val="none"/>
          <w:lang w:val="en-US" w:eastAsia="zh-CN" w:bidi="ar-SA"/>
        </w:rPr>
        <w:t>市城发矿业</w:t>
      </w:r>
      <w:r>
        <w:rPr>
          <w:rFonts w:hint="eastAsia"/>
          <w:b/>
          <w:bCs/>
          <w:sz w:val="56"/>
          <w:szCs w:val="72"/>
          <w:highlight w:val="none"/>
          <w:lang w:val="en-US" w:bidi="ar-SA"/>
        </w:rPr>
        <w:t>有限公司</w:t>
      </w:r>
    </w:p>
    <w:p>
      <w:pPr>
        <w:pStyle w:val="4"/>
        <w:adjustRightInd w:val="0"/>
        <w:snapToGrid w:val="0"/>
        <w:spacing w:line="360" w:lineRule="auto"/>
        <w:jc w:val="center"/>
        <w:rPr>
          <w:b/>
          <w:sz w:val="48"/>
          <w:szCs w:val="48"/>
          <w:highlight w:val="none"/>
        </w:rPr>
      </w:pPr>
    </w:p>
    <w:p>
      <w:pPr>
        <w:jc w:val="center"/>
        <w:outlineLvl w:val="0"/>
        <w:rPr>
          <w:rFonts w:hint="eastAsia" w:ascii="宋体" w:hAnsi="宋体" w:cs="宋体"/>
          <w:color w:val="000000"/>
          <w:sz w:val="36"/>
          <w:szCs w:val="36"/>
          <w:lang w:eastAsia="zh-CN"/>
        </w:rPr>
      </w:pPr>
      <w:bookmarkStart w:id="0" w:name="_Toc12757"/>
      <w:bookmarkStart w:id="1" w:name="_Toc6438"/>
      <w:r>
        <w:rPr>
          <w:rFonts w:hint="eastAsia" w:ascii="宋体" w:hAnsi="宋体" w:cs="宋体"/>
          <w:color w:val="000000"/>
          <w:sz w:val="36"/>
          <w:szCs w:val="36"/>
          <w:lang w:eastAsia="zh-CN"/>
        </w:rPr>
        <w:t>福尔泰化工有限公司不稳定边坡</w:t>
      </w:r>
      <w:bookmarkEnd w:id="0"/>
      <w:bookmarkEnd w:id="1"/>
    </w:p>
    <w:p>
      <w:pPr>
        <w:jc w:val="center"/>
        <w:outlineLvl w:val="0"/>
        <w:rPr>
          <w:rFonts w:ascii="宋体" w:hAnsi="宋体"/>
          <w:sz w:val="56"/>
          <w:szCs w:val="56"/>
        </w:rPr>
      </w:pPr>
      <w:bookmarkStart w:id="2" w:name="_Toc29877"/>
      <w:bookmarkStart w:id="3" w:name="_Toc508"/>
      <w:r>
        <w:rPr>
          <w:rFonts w:hint="eastAsia" w:ascii="宋体" w:hAnsi="宋体" w:cs="宋体"/>
          <w:color w:val="000000"/>
          <w:sz w:val="36"/>
          <w:szCs w:val="36"/>
          <w:lang w:eastAsia="zh-CN"/>
        </w:rPr>
        <w:t>综合治理</w:t>
      </w:r>
      <w:r>
        <w:rPr>
          <w:rFonts w:hint="eastAsia" w:ascii="宋体" w:hAnsi="宋体" w:cs="宋体"/>
          <w:color w:val="000000"/>
          <w:sz w:val="36"/>
          <w:szCs w:val="36"/>
          <w:lang w:val="en-US" w:eastAsia="zh-CN"/>
        </w:rPr>
        <w:t>土石方评估</w:t>
      </w:r>
      <w:r>
        <w:rPr>
          <w:rFonts w:hint="eastAsia" w:ascii="宋体" w:hAnsi="宋体" w:cs="宋体"/>
          <w:color w:val="000000"/>
          <w:sz w:val="36"/>
          <w:szCs w:val="36"/>
          <w:lang w:eastAsia="zh-CN"/>
        </w:rPr>
        <w:t>项目</w:t>
      </w:r>
      <w:bookmarkEnd w:id="2"/>
      <w:bookmarkEnd w:id="3"/>
    </w:p>
    <w:p>
      <w:pPr>
        <w:spacing w:line="300" w:lineRule="auto"/>
        <w:jc w:val="center"/>
        <w:rPr>
          <w:rFonts w:hint="default" w:eastAsia="宋体"/>
          <w:b/>
          <w:sz w:val="44"/>
          <w:szCs w:val="44"/>
          <w:highlight w:val="none"/>
          <w:lang w:val="en-US" w:eastAsia="zh-CN"/>
        </w:rPr>
      </w:pPr>
    </w:p>
    <w:p>
      <w:pPr>
        <w:spacing w:line="300" w:lineRule="auto"/>
        <w:jc w:val="center"/>
        <w:rPr>
          <w:rFonts w:hint="eastAsia" w:ascii="Times New Roman" w:hAnsi="Times New Roman" w:eastAsia="宋体" w:cs="Times New Roman"/>
          <w:b/>
          <w:sz w:val="52"/>
          <w:szCs w:val="52"/>
          <w:highlight w:val="none"/>
          <w:lang w:val="en-US" w:eastAsia="zh-CN"/>
        </w:rPr>
      </w:pPr>
    </w:p>
    <w:p>
      <w:pPr>
        <w:spacing w:line="300" w:lineRule="auto"/>
        <w:jc w:val="center"/>
        <w:rPr>
          <w:rFonts w:hint="eastAsia" w:ascii="Times New Roman" w:hAnsi="Times New Roman" w:eastAsia="宋体" w:cs="Times New Roman"/>
          <w:b/>
          <w:sz w:val="52"/>
          <w:szCs w:val="52"/>
          <w:highlight w:val="none"/>
          <w:lang w:val="en-US" w:eastAsia="zh-CN"/>
        </w:rPr>
      </w:pPr>
    </w:p>
    <w:p>
      <w:pPr>
        <w:spacing w:line="300" w:lineRule="auto"/>
        <w:jc w:val="center"/>
        <w:rPr>
          <w:rFonts w:hint="eastAsia" w:ascii="Times New Roman" w:hAnsi="Times New Roman" w:eastAsia="宋体" w:cs="Times New Roman"/>
          <w:b/>
          <w:sz w:val="52"/>
          <w:szCs w:val="52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sz w:val="52"/>
          <w:szCs w:val="52"/>
          <w:highlight w:val="none"/>
          <w:lang w:val="en-US" w:eastAsia="zh-CN"/>
        </w:rPr>
        <w:t>询 价 文 件</w:t>
      </w:r>
    </w:p>
    <w:p>
      <w:pPr>
        <w:pStyle w:val="4"/>
        <w:adjustRightInd w:val="0"/>
        <w:snapToGrid w:val="0"/>
        <w:spacing w:line="360" w:lineRule="auto"/>
        <w:ind w:firstLine="840" w:firstLineChars="300"/>
        <w:jc w:val="center"/>
        <w:rPr>
          <w:sz w:val="28"/>
          <w:szCs w:val="28"/>
          <w:highlight w:val="none"/>
        </w:rPr>
      </w:pPr>
    </w:p>
    <w:p>
      <w:pPr>
        <w:pStyle w:val="4"/>
        <w:adjustRightInd w:val="0"/>
        <w:snapToGrid w:val="0"/>
        <w:spacing w:line="360" w:lineRule="auto"/>
        <w:ind w:firstLine="1325" w:firstLineChars="440"/>
        <w:rPr>
          <w:b/>
          <w:bCs/>
          <w:sz w:val="30"/>
          <w:szCs w:val="30"/>
          <w:highlight w:val="none"/>
        </w:rPr>
      </w:pPr>
    </w:p>
    <w:p>
      <w:pPr>
        <w:pStyle w:val="4"/>
        <w:adjustRightInd w:val="0"/>
        <w:snapToGrid w:val="0"/>
        <w:spacing w:line="360" w:lineRule="auto"/>
        <w:ind w:firstLine="1325" w:firstLineChars="440"/>
        <w:outlineLvl w:val="0"/>
        <w:rPr>
          <w:rFonts w:hint="default" w:eastAsia="宋体"/>
          <w:b w:val="0"/>
          <w:bCs w:val="0"/>
          <w:sz w:val="30"/>
          <w:szCs w:val="30"/>
          <w:highlight w:val="none"/>
          <w:lang w:val="en-US" w:eastAsia="zh-CN"/>
        </w:rPr>
      </w:pPr>
      <w:bookmarkStart w:id="4" w:name="_Toc29151"/>
      <w:bookmarkStart w:id="5" w:name="_Toc16053"/>
      <w:r>
        <w:rPr>
          <w:rFonts w:hint="eastAsia"/>
          <w:b/>
          <w:bCs/>
          <w:sz w:val="30"/>
          <w:szCs w:val="30"/>
          <w:highlight w:val="none"/>
        </w:rPr>
        <w:t>项目编号：</w:t>
      </w:r>
      <w:r>
        <w:rPr>
          <w:rFonts w:hint="eastAsia"/>
          <w:b w:val="0"/>
          <w:bCs w:val="0"/>
          <w:sz w:val="30"/>
          <w:szCs w:val="30"/>
          <w:highlight w:val="none"/>
          <w:lang w:val="en-US" w:eastAsia="zh-CN"/>
        </w:rPr>
        <w:t>CFKY2023-005</w:t>
      </w:r>
      <w:bookmarkEnd w:id="4"/>
      <w:bookmarkEnd w:id="5"/>
    </w:p>
    <w:p>
      <w:pPr>
        <w:pStyle w:val="4"/>
        <w:adjustRightInd w:val="0"/>
        <w:snapToGrid w:val="0"/>
        <w:spacing w:line="360" w:lineRule="auto"/>
        <w:ind w:firstLine="1325" w:firstLineChars="440"/>
        <w:outlineLvl w:val="0"/>
        <w:rPr>
          <w:rFonts w:hint="eastAsia"/>
          <w:b w:val="0"/>
          <w:bCs w:val="0"/>
          <w:sz w:val="30"/>
          <w:szCs w:val="30"/>
          <w:highlight w:val="none"/>
        </w:rPr>
      </w:pPr>
      <w:bookmarkStart w:id="6" w:name="_Toc5451"/>
      <w:bookmarkStart w:id="7" w:name="_Toc5362"/>
      <w:r>
        <w:rPr>
          <w:rFonts w:hint="eastAsia"/>
          <w:b/>
          <w:bCs/>
          <w:sz w:val="30"/>
          <w:szCs w:val="30"/>
          <w:highlight w:val="none"/>
        </w:rPr>
        <w:t>招</w:t>
      </w:r>
      <w:r>
        <w:rPr>
          <w:rFonts w:hint="eastAsia"/>
          <w:b/>
          <w:bCs/>
          <w:sz w:val="30"/>
          <w:szCs w:val="30"/>
          <w:highlight w:val="none"/>
          <w:lang w:val="en-US" w:eastAsia="zh-CN"/>
        </w:rPr>
        <w:t xml:space="preserve"> </w:t>
      </w:r>
      <w:r>
        <w:rPr>
          <w:rFonts w:hint="eastAsia"/>
          <w:b/>
          <w:bCs/>
          <w:sz w:val="30"/>
          <w:szCs w:val="30"/>
          <w:highlight w:val="none"/>
        </w:rPr>
        <w:t>标</w:t>
      </w:r>
      <w:r>
        <w:rPr>
          <w:rFonts w:hint="eastAsia"/>
          <w:b/>
          <w:bCs/>
          <w:sz w:val="30"/>
          <w:szCs w:val="30"/>
          <w:highlight w:val="none"/>
          <w:lang w:val="en-US" w:eastAsia="zh-CN"/>
        </w:rPr>
        <w:t xml:space="preserve"> </w:t>
      </w:r>
      <w:r>
        <w:rPr>
          <w:rFonts w:hint="eastAsia"/>
          <w:b/>
          <w:bCs/>
          <w:sz w:val="30"/>
          <w:szCs w:val="30"/>
          <w:highlight w:val="none"/>
        </w:rPr>
        <w:t>人：</w:t>
      </w:r>
      <w:r>
        <w:rPr>
          <w:rFonts w:hint="eastAsia"/>
          <w:b w:val="0"/>
          <w:bCs w:val="0"/>
          <w:sz w:val="30"/>
          <w:szCs w:val="30"/>
          <w:highlight w:val="none"/>
        </w:rPr>
        <w:t>黄石市城发矿业有限公司</w:t>
      </w:r>
      <w:bookmarkEnd w:id="6"/>
      <w:bookmarkEnd w:id="7"/>
    </w:p>
    <w:p>
      <w:pPr>
        <w:spacing w:line="600" w:lineRule="exact"/>
        <w:jc w:val="center"/>
        <w:rPr>
          <w:b/>
          <w:sz w:val="28"/>
          <w:szCs w:val="28"/>
          <w:highlight w:val="none"/>
        </w:rPr>
      </w:pPr>
    </w:p>
    <w:p>
      <w:pPr>
        <w:pStyle w:val="12"/>
        <w:ind w:firstLine="0" w:firstLineChars="0"/>
        <w:jc w:val="both"/>
        <w:rPr>
          <w:b/>
          <w:sz w:val="32"/>
          <w:szCs w:val="32"/>
          <w:highlight w:val="none"/>
        </w:rPr>
      </w:pPr>
    </w:p>
    <w:p>
      <w:pPr>
        <w:jc w:val="center"/>
        <w:rPr>
          <w:rFonts w:ascii="微软雅黑" w:eastAsia="微软雅黑"/>
          <w:sz w:val="32"/>
          <w:highlight w:val="none"/>
        </w:rPr>
      </w:pPr>
      <w:r>
        <w:rPr>
          <w:rFonts w:hint="eastAsia"/>
          <w:b/>
          <w:sz w:val="32"/>
          <w:szCs w:val="32"/>
          <w:highlight w:val="none"/>
        </w:rPr>
        <w:t>二〇二</w:t>
      </w:r>
      <w:r>
        <w:rPr>
          <w:rFonts w:hint="eastAsia"/>
          <w:b/>
          <w:sz w:val="32"/>
          <w:szCs w:val="32"/>
          <w:highlight w:val="none"/>
          <w:lang w:val="en-US" w:eastAsia="zh-CN"/>
        </w:rPr>
        <w:t>三</w:t>
      </w:r>
      <w:r>
        <w:rPr>
          <w:rFonts w:hint="eastAsia"/>
          <w:b/>
          <w:sz w:val="32"/>
          <w:szCs w:val="32"/>
          <w:highlight w:val="none"/>
        </w:rPr>
        <w:t>年</w:t>
      </w:r>
      <w:r>
        <w:rPr>
          <w:rFonts w:hint="eastAsia"/>
          <w:b/>
          <w:sz w:val="32"/>
          <w:szCs w:val="32"/>
          <w:highlight w:val="none"/>
          <w:lang w:val="en-US" w:eastAsia="zh-CN"/>
        </w:rPr>
        <w:t>六</w:t>
      </w:r>
      <w:r>
        <w:rPr>
          <w:rFonts w:hint="eastAsia"/>
          <w:b/>
          <w:sz w:val="32"/>
          <w:szCs w:val="32"/>
          <w:highlight w:val="none"/>
        </w:rPr>
        <w:t>月</w:t>
      </w:r>
      <w:r>
        <w:rPr>
          <w:rFonts w:ascii="微软雅黑" w:eastAsia="微软雅黑"/>
          <w:sz w:val="32"/>
          <w:highlight w:val="none"/>
        </w:rPr>
        <w:br w:type="page"/>
      </w:r>
    </w:p>
    <w:p>
      <w:pPr>
        <w:ind w:right="-92" w:rightChars="-44"/>
        <w:rPr>
          <w:rFonts w:hint="eastAsia" w:ascii="宋体" w:hAnsi="宋体"/>
          <w:b w:val="0"/>
          <w:bCs/>
          <w:sz w:val="52"/>
          <w:szCs w:val="52"/>
        </w:r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52475"/>
        <w15:color w:val="DBDBDB"/>
        <w:docPartObj>
          <w:docPartGallery w:val="Table of Contents"/>
          <w:docPartUnique/>
        </w:docPartObj>
      </w:sdtPr>
      <w:sdtEndPr>
        <w:rPr>
          <w:rFonts w:hint="eastAsia" w:ascii="方正小标宋简体" w:hAnsi="方正小标宋简体" w:eastAsia="方正小标宋简体" w:cs="方正小标宋简体"/>
          <w:b/>
          <w:bCs w:val="0"/>
          <w:kern w:val="2"/>
          <w:sz w:val="21"/>
          <w:szCs w:val="4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hint="eastAsia" w:ascii="方正小标宋简体" w:hAnsi="方正小标宋简体" w:eastAsia="方正小标宋简体" w:cs="方正小标宋简体"/>
              <w:sz w:val="44"/>
              <w:szCs w:val="44"/>
            </w:rPr>
            <w:t>目</w:t>
          </w:r>
          <w:r>
            <w:rPr>
              <w:rFonts w:hint="eastAsia" w:ascii="方正小标宋简体" w:hAnsi="方正小标宋简体" w:eastAsia="方正小标宋简体" w:cs="方正小标宋简体"/>
              <w:sz w:val="44"/>
              <w:szCs w:val="44"/>
              <w:lang w:val="en-US" w:eastAsia="zh-CN"/>
            </w:rPr>
            <w:t xml:space="preserve">  </w:t>
          </w:r>
          <w:r>
            <w:rPr>
              <w:rFonts w:hint="eastAsia" w:ascii="方正小标宋简体" w:hAnsi="方正小标宋简体" w:eastAsia="方正小标宋简体" w:cs="方正小标宋简体"/>
              <w:sz w:val="44"/>
              <w:szCs w:val="44"/>
            </w:rPr>
            <w:t>录</w:t>
          </w:r>
        </w:p>
        <w:p>
          <w:pPr>
            <w:pStyle w:val="13"/>
            <w:tabs>
              <w:tab w:val="right" w:leader="dot" w:pos="9298"/>
            </w:tabs>
            <w:rPr>
              <w:b/>
            </w:rPr>
          </w:pPr>
          <w:r>
            <w:rPr>
              <w:rFonts w:hint="eastAsia" w:ascii="方正小标宋简体" w:hAnsi="方正小标宋简体" w:eastAsia="方正小标宋简体" w:cs="方正小标宋简体"/>
              <w:b w:val="0"/>
              <w:bCs w:val="0"/>
              <w:sz w:val="44"/>
              <w:szCs w:val="44"/>
              <w:lang w:val="en-US" w:eastAsia="zh-CN"/>
            </w:rPr>
            <w:fldChar w:fldCharType="begin"/>
          </w:r>
          <w:r>
            <w:rPr>
              <w:rFonts w:hint="eastAsia" w:ascii="方正小标宋简体" w:hAnsi="方正小标宋简体" w:eastAsia="方正小标宋简体" w:cs="方正小标宋简体"/>
              <w:b w:val="0"/>
              <w:bCs w:val="0"/>
              <w:sz w:val="44"/>
              <w:szCs w:val="44"/>
              <w:lang w:val="en-US" w:eastAsia="zh-CN"/>
            </w:rPr>
            <w:instrText xml:space="preserve">TOC \o "1-2" \h \u </w:instrText>
          </w:r>
          <w:r>
            <w:rPr>
              <w:rFonts w:hint="eastAsia" w:ascii="方正小标宋简体" w:hAnsi="方正小标宋简体" w:eastAsia="方正小标宋简体" w:cs="方正小标宋简体"/>
              <w:b w:val="0"/>
              <w:bCs w:val="0"/>
              <w:sz w:val="44"/>
              <w:szCs w:val="44"/>
              <w:lang w:val="en-US" w:eastAsia="zh-CN"/>
            </w:rPr>
            <w:fldChar w:fldCharType="separate"/>
          </w:r>
        </w:p>
        <w:p>
          <w:pPr>
            <w:pStyle w:val="13"/>
            <w:keepNext w:val="0"/>
            <w:keepLines w:val="0"/>
            <w:pageBreakBefore w:val="0"/>
            <w:widowControl/>
            <w:tabs>
              <w:tab w:val="right" w:leader="dot" w:pos="9298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600" w:lineRule="exact"/>
            <w:textAlignment w:val="auto"/>
            <w:rPr>
              <w:rFonts w:hint="eastAsia" w:ascii="黑体" w:hAnsi="黑体" w:eastAsia="黑体" w:cs="黑体"/>
              <w:b w:val="0"/>
              <w:bCs/>
              <w:sz w:val="36"/>
              <w:szCs w:val="36"/>
            </w:rPr>
          </w:pPr>
          <w:r>
            <w:rPr>
              <w:rFonts w:hint="eastAsia" w:ascii="黑体" w:hAnsi="黑体" w:eastAsia="黑体" w:cs="黑体"/>
              <w:b w:val="0"/>
              <w:bCs/>
              <w:sz w:val="36"/>
              <w:szCs w:val="144"/>
              <w:lang w:val="en-US" w:eastAsia="zh-CN"/>
            </w:rPr>
            <w:fldChar w:fldCharType="begin"/>
          </w:r>
          <w:r>
            <w:rPr>
              <w:rFonts w:hint="eastAsia" w:ascii="黑体" w:hAnsi="黑体" w:eastAsia="黑体" w:cs="黑体"/>
              <w:b w:val="0"/>
              <w:bCs/>
              <w:sz w:val="36"/>
              <w:szCs w:val="144"/>
              <w:lang w:val="en-US" w:eastAsia="zh-CN"/>
            </w:rPr>
            <w:instrText xml:space="preserve"> HYPERLINK \l _Toc21491 </w:instrText>
          </w:r>
          <w:r>
            <w:rPr>
              <w:rFonts w:hint="eastAsia" w:ascii="黑体" w:hAnsi="黑体" w:eastAsia="黑体" w:cs="黑体"/>
              <w:b w:val="0"/>
              <w:bCs/>
              <w:sz w:val="36"/>
              <w:szCs w:val="144"/>
              <w:lang w:val="en-US" w:eastAsia="zh-CN"/>
            </w:rPr>
            <w:fldChar w:fldCharType="separate"/>
          </w:r>
          <w:r>
            <w:rPr>
              <w:rFonts w:hint="eastAsia" w:ascii="黑体" w:hAnsi="黑体" w:eastAsia="黑体" w:cs="黑体"/>
              <w:b w:val="0"/>
              <w:bCs/>
              <w:sz w:val="36"/>
              <w:szCs w:val="144"/>
              <w:lang w:val="en-US" w:eastAsia="zh-CN"/>
            </w:rPr>
            <w:t>第一章  询价公告</w:t>
          </w:r>
          <w:r>
            <w:rPr>
              <w:rFonts w:hint="eastAsia" w:ascii="黑体" w:hAnsi="黑体" w:eastAsia="黑体" w:cs="黑体"/>
              <w:b w:val="0"/>
              <w:bCs/>
              <w:sz w:val="36"/>
              <w:szCs w:val="36"/>
            </w:rPr>
            <w:tab/>
          </w:r>
          <w:r>
            <w:rPr>
              <w:rFonts w:hint="eastAsia" w:ascii="黑体" w:hAnsi="黑体" w:eastAsia="黑体" w:cs="黑体"/>
              <w:b w:val="0"/>
              <w:bCs/>
              <w:sz w:val="36"/>
              <w:szCs w:val="36"/>
            </w:rPr>
            <w:fldChar w:fldCharType="begin"/>
          </w:r>
          <w:r>
            <w:rPr>
              <w:rFonts w:hint="eastAsia" w:ascii="黑体" w:hAnsi="黑体" w:eastAsia="黑体" w:cs="黑体"/>
              <w:b w:val="0"/>
              <w:bCs/>
              <w:sz w:val="36"/>
              <w:szCs w:val="36"/>
            </w:rPr>
            <w:instrText xml:space="preserve"> PAGEREF _Toc21491 \h </w:instrText>
          </w:r>
          <w:r>
            <w:rPr>
              <w:rFonts w:hint="eastAsia" w:ascii="黑体" w:hAnsi="黑体" w:eastAsia="黑体" w:cs="黑体"/>
              <w:b w:val="0"/>
              <w:bCs/>
              <w:sz w:val="36"/>
              <w:szCs w:val="36"/>
            </w:rPr>
            <w:fldChar w:fldCharType="separate"/>
          </w:r>
          <w:r>
            <w:rPr>
              <w:rFonts w:hint="eastAsia" w:ascii="黑体" w:hAnsi="黑体" w:eastAsia="黑体" w:cs="黑体"/>
              <w:b w:val="0"/>
              <w:bCs/>
              <w:sz w:val="36"/>
              <w:szCs w:val="36"/>
            </w:rPr>
            <w:t>3</w:t>
          </w:r>
          <w:r>
            <w:rPr>
              <w:rFonts w:hint="eastAsia" w:ascii="黑体" w:hAnsi="黑体" w:eastAsia="黑体" w:cs="黑体"/>
              <w:b w:val="0"/>
              <w:bCs/>
              <w:sz w:val="36"/>
              <w:szCs w:val="36"/>
            </w:rPr>
            <w:fldChar w:fldCharType="end"/>
          </w:r>
          <w:r>
            <w:rPr>
              <w:rFonts w:hint="eastAsia" w:ascii="黑体" w:hAnsi="黑体" w:eastAsia="黑体" w:cs="黑体"/>
              <w:b w:val="0"/>
              <w:bCs/>
              <w:sz w:val="36"/>
              <w:szCs w:val="144"/>
              <w:lang w:val="en-US" w:eastAsia="zh-CN"/>
            </w:rPr>
            <w:fldChar w:fldCharType="end"/>
          </w:r>
        </w:p>
        <w:p>
          <w:pPr>
            <w:pStyle w:val="13"/>
            <w:keepNext w:val="0"/>
            <w:keepLines w:val="0"/>
            <w:pageBreakBefore w:val="0"/>
            <w:widowControl/>
            <w:tabs>
              <w:tab w:val="right" w:leader="dot" w:pos="9298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600" w:lineRule="exact"/>
            <w:textAlignment w:val="auto"/>
            <w:rPr>
              <w:rFonts w:hint="eastAsia" w:ascii="黑体" w:hAnsi="黑体" w:eastAsia="黑体" w:cs="黑体"/>
              <w:b w:val="0"/>
              <w:bCs/>
              <w:sz w:val="36"/>
              <w:szCs w:val="36"/>
            </w:rPr>
          </w:pPr>
          <w:r>
            <w:rPr>
              <w:rFonts w:hint="eastAsia" w:ascii="黑体" w:hAnsi="黑体" w:eastAsia="黑体" w:cs="黑体"/>
              <w:b w:val="0"/>
              <w:bCs/>
              <w:sz w:val="36"/>
              <w:szCs w:val="144"/>
              <w:lang w:val="en-US" w:eastAsia="zh-CN"/>
            </w:rPr>
            <w:fldChar w:fldCharType="begin"/>
          </w:r>
          <w:r>
            <w:rPr>
              <w:rFonts w:hint="eastAsia" w:ascii="黑体" w:hAnsi="黑体" w:eastAsia="黑体" w:cs="黑体"/>
              <w:b w:val="0"/>
              <w:bCs/>
              <w:sz w:val="36"/>
              <w:szCs w:val="144"/>
              <w:lang w:val="en-US" w:eastAsia="zh-CN"/>
            </w:rPr>
            <w:instrText xml:space="preserve"> HYPERLINK \l _Toc28270 </w:instrText>
          </w:r>
          <w:r>
            <w:rPr>
              <w:rFonts w:hint="eastAsia" w:ascii="黑体" w:hAnsi="黑体" w:eastAsia="黑体" w:cs="黑体"/>
              <w:b w:val="0"/>
              <w:bCs/>
              <w:sz w:val="36"/>
              <w:szCs w:val="144"/>
              <w:lang w:val="en-US" w:eastAsia="zh-CN"/>
            </w:rPr>
            <w:fldChar w:fldCharType="separate"/>
          </w:r>
          <w:r>
            <w:rPr>
              <w:rFonts w:hint="eastAsia" w:ascii="黑体" w:hAnsi="黑体" w:eastAsia="黑体" w:cs="黑体"/>
              <w:b w:val="0"/>
              <w:bCs/>
              <w:sz w:val="36"/>
              <w:szCs w:val="144"/>
              <w:lang w:val="en-US" w:eastAsia="zh-CN"/>
            </w:rPr>
            <w:t>第二章  附件</w:t>
          </w:r>
          <w:r>
            <w:rPr>
              <w:rFonts w:hint="eastAsia" w:ascii="黑体" w:hAnsi="黑体" w:eastAsia="黑体" w:cs="黑体"/>
              <w:b w:val="0"/>
              <w:bCs/>
              <w:sz w:val="36"/>
              <w:szCs w:val="36"/>
            </w:rPr>
            <w:tab/>
          </w:r>
          <w:r>
            <w:rPr>
              <w:rFonts w:hint="eastAsia" w:ascii="黑体" w:hAnsi="黑体" w:eastAsia="黑体" w:cs="黑体"/>
              <w:b w:val="0"/>
              <w:bCs/>
              <w:sz w:val="36"/>
              <w:szCs w:val="36"/>
            </w:rPr>
            <w:fldChar w:fldCharType="begin"/>
          </w:r>
          <w:r>
            <w:rPr>
              <w:rFonts w:hint="eastAsia" w:ascii="黑体" w:hAnsi="黑体" w:eastAsia="黑体" w:cs="黑体"/>
              <w:b w:val="0"/>
              <w:bCs/>
              <w:sz w:val="36"/>
              <w:szCs w:val="36"/>
            </w:rPr>
            <w:instrText xml:space="preserve"> PAGEREF _Toc28270 \h </w:instrText>
          </w:r>
          <w:r>
            <w:rPr>
              <w:rFonts w:hint="eastAsia" w:ascii="黑体" w:hAnsi="黑体" w:eastAsia="黑体" w:cs="黑体"/>
              <w:b w:val="0"/>
              <w:bCs/>
              <w:sz w:val="36"/>
              <w:szCs w:val="36"/>
            </w:rPr>
            <w:fldChar w:fldCharType="separate"/>
          </w:r>
          <w:r>
            <w:rPr>
              <w:rFonts w:hint="eastAsia" w:ascii="黑体" w:hAnsi="黑体" w:eastAsia="黑体" w:cs="黑体"/>
              <w:b w:val="0"/>
              <w:bCs/>
              <w:sz w:val="36"/>
              <w:szCs w:val="36"/>
            </w:rPr>
            <w:t>6</w:t>
          </w:r>
          <w:r>
            <w:rPr>
              <w:rFonts w:hint="eastAsia" w:ascii="黑体" w:hAnsi="黑体" w:eastAsia="黑体" w:cs="黑体"/>
              <w:b w:val="0"/>
              <w:bCs/>
              <w:sz w:val="36"/>
              <w:szCs w:val="36"/>
            </w:rPr>
            <w:fldChar w:fldCharType="end"/>
          </w:r>
          <w:r>
            <w:rPr>
              <w:rFonts w:hint="eastAsia" w:ascii="黑体" w:hAnsi="黑体" w:eastAsia="黑体" w:cs="黑体"/>
              <w:b w:val="0"/>
              <w:bCs/>
              <w:sz w:val="36"/>
              <w:szCs w:val="144"/>
              <w:lang w:val="en-US" w:eastAsia="zh-CN"/>
            </w:rPr>
            <w:fldChar w:fldCharType="end"/>
          </w:r>
        </w:p>
        <w:p>
          <w:pPr>
            <w:pStyle w:val="13"/>
            <w:keepNext w:val="0"/>
            <w:keepLines w:val="0"/>
            <w:pageBreakBefore w:val="0"/>
            <w:widowControl/>
            <w:tabs>
              <w:tab w:val="right" w:leader="dot" w:pos="9298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600" w:lineRule="exact"/>
            <w:ind w:firstLine="640" w:firstLineChars="200"/>
            <w:textAlignment w:val="auto"/>
            <w:rPr>
              <w:rFonts w:hint="eastAsia" w:ascii="黑体" w:hAnsi="黑体" w:eastAsia="黑体" w:cs="黑体"/>
              <w:b w:val="0"/>
              <w:bCs/>
              <w:sz w:val="32"/>
              <w:szCs w:val="32"/>
            </w:rPr>
          </w:pPr>
          <w:r>
            <w:rPr>
              <w:rFonts w:hint="eastAsia" w:ascii="黑体" w:hAnsi="黑体" w:eastAsia="黑体" w:cs="黑体"/>
              <w:b w:val="0"/>
              <w:bCs/>
              <w:sz w:val="32"/>
              <w:szCs w:val="96"/>
              <w:lang w:val="en-US" w:eastAsia="zh-CN"/>
            </w:rPr>
            <w:fldChar w:fldCharType="begin"/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96"/>
              <w:lang w:val="en-US" w:eastAsia="zh-CN"/>
            </w:rPr>
            <w:instrText xml:space="preserve"> HYPERLINK \l _Toc17281 </w:instrText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96"/>
              <w:lang w:val="en-US" w:eastAsia="zh-CN"/>
            </w:rPr>
            <w:fldChar w:fldCharType="separate"/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52"/>
            </w:rPr>
            <w:t>附件1</w:t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52"/>
              <w:lang w:val="en-US" w:eastAsia="zh-CN"/>
            </w:rPr>
            <w:t>.报价表</w:t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32"/>
            </w:rPr>
            <w:tab/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32"/>
            </w:rPr>
            <w:fldChar w:fldCharType="begin"/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32"/>
            </w:rPr>
            <w:instrText xml:space="preserve"> PAGEREF _Toc17281 \h </w:instrText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32"/>
            </w:rPr>
            <w:fldChar w:fldCharType="separate"/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32"/>
            </w:rPr>
            <w:t>6</w:t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32"/>
            </w:rPr>
            <w:fldChar w:fldCharType="end"/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96"/>
              <w:lang w:val="en-US" w:eastAsia="zh-CN"/>
            </w:rPr>
            <w:fldChar w:fldCharType="end"/>
          </w:r>
        </w:p>
        <w:p>
          <w:pPr>
            <w:pStyle w:val="13"/>
            <w:keepNext w:val="0"/>
            <w:keepLines w:val="0"/>
            <w:pageBreakBefore w:val="0"/>
            <w:widowControl/>
            <w:tabs>
              <w:tab w:val="right" w:leader="dot" w:pos="9298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600" w:lineRule="exact"/>
            <w:ind w:firstLine="640" w:firstLineChars="200"/>
            <w:textAlignment w:val="auto"/>
            <w:rPr>
              <w:rFonts w:hint="eastAsia" w:ascii="黑体" w:hAnsi="黑体" w:eastAsia="黑体" w:cs="黑体"/>
              <w:b w:val="0"/>
              <w:bCs/>
              <w:sz w:val="32"/>
              <w:szCs w:val="32"/>
            </w:rPr>
          </w:pPr>
          <w:r>
            <w:rPr>
              <w:rFonts w:hint="eastAsia" w:ascii="黑体" w:hAnsi="黑体" w:eastAsia="黑体" w:cs="黑体"/>
              <w:b w:val="0"/>
              <w:bCs/>
              <w:sz w:val="32"/>
              <w:szCs w:val="96"/>
              <w:lang w:val="en-US" w:eastAsia="zh-CN"/>
            </w:rPr>
            <w:fldChar w:fldCharType="begin"/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96"/>
              <w:lang w:val="en-US" w:eastAsia="zh-CN"/>
            </w:rPr>
            <w:instrText xml:space="preserve"> HYPERLINK \l _Toc6389 </w:instrText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96"/>
              <w:lang w:val="en-US" w:eastAsia="zh-CN"/>
            </w:rPr>
            <w:fldChar w:fldCharType="separate"/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52"/>
            </w:rPr>
            <w:t>附件2</w:t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52"/>
              <w:lang w:val="en-US" w:eastAsia="zh-CN"/>
            </w:rPr>
            <w:t>.法定代表人授权委托书</w:t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32"/>
            </w:rPr>
            <w:tab/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32"/>
            </w:rPr>
            <w:fldChar w:fldCharType="begin"/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32"/>
            </w:rPr>
            <w:instrText xml:space="preserve"> PAGEREF _Toc6389 \h </w:instrText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32"/>
            </w:rPr>
            <w:fldChar w:fldCharType="separate"/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32"/>
            </w:rPr>
            <w:t>7</w:t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32"/>
            </w:rPr>
            <w:fldChar w:fldCharType="end"/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96"/>
              <w:lang w:val="en-US" w:eastAsia="zh-CN"/>
            </w:rPr>
            <w:fldChar w:fldCharType="end"/>
          </w:r>
        </w:p>
        <w:p>
          <w:pPr>
            <w:pStyle w:val="13"/>
            <w:keepNext w:val="0"/>
            <w:keepLines w:val="0"/>
            <w:pageBreakBefore w:val="0"/>
            <w:widowControl/>
            <w:tabs>
              <w:tab w:val="right" w:leader="dot" w:pos="9298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600" w:lineRule="exact"/>
            <w:ind w:firstLine="640" w:firstLineChars="200"/>
            <w:textAlignment w:val="auto"/>
            <w:rPr>
              <w:b/>
              <w:sz w:val="18"/>
              <w:szCs w:val="18"/>
            </w:rPr>
          </w:pPr>
          <w:r>
            <w:rPr>
              <w:rFonts w:hint="eastAsia" w:ascii="黑体" w:hAnsi="黑体" w:eastAsia="黑体" w:cs="黑体"/>
              <w:b w:val="0"/>
              <w:bCs/>
              <w:sz w:val="32"/>
              <w:szCs w:val="96"/>
              <w:lang w:val="en-US" w:eastAsia="zh-CN"/>
            </w:rPr>
            <w:fldChar w:fldCharType="begin"/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96"/>
              <w:lang w:val="en-US" w:eastAsia="zh-CN"/>
            </w:rPr>
            <w:instrText xml:space="preserve"> HYPERLINK \l _Toc6225 </w:instrText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96"/>
              <w:lang w:val="en-US" w:eastAsia="zh-CN"/>
            </w:rPr>
            <w:fldChar w:fldCharType="separate"/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52"/>
            </w:rPr>
            <w:t>附件3</w:t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52"/>
              <w:lang w:val="en-US" w:eastAsia="zh-CN"/>
            </w:rPr>
            <w:t>.承诺书</w:t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32"/>
            </w:rPr>
            <w:tab/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32"/>
            </w:rPr>
            <w:fldChar w:fldCharType="begin"/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32"/>
            </w:rPr>
            <w:instrText xml:space="preserve"> PAGEREF _Toc6225 \h </w:instrText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32"/>
            </w:rPr>
            <w:fldChar w:fldCharType="separate"/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32"/>
            </w:rPr>
            <w:t>8</w:t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32"/>
            </w:rPr>
            <w:fldChar w:fldCharType="end"/>
          </w:r>
          <w:r>
            <w:rPr>
              <w:rFonts w:hint="eastAsia" w:ascii="黑体" w:hAnsi="黑体" w:eastAsia="黑体" w:cs="黑体"/>
              <w:b w:val="0"/>
              <w:bCs/>
              <w:sz w:val="32"/>
              <w:szCs w:val="96"/>
              <w:lang w:val="en-US" w:eastAsia="zh-CN"/>
            </w:rPr>
            <w:fldChar w:fldCharType="end"/>
          </w:r>
        </w:p>
        <w:p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ind w:left="0" w:leftChars="0"/>
            <w:jc w:val="center"/>
            <w:textAlignment w:val="auto"/>
            <w:rPr>
              <w:rFonts w:hint="eastAsia" w:ascii="方正小标宋简体" w:hAnsi="方正小标宋简体" w:eastAsia="方正小标宋简体" w:cs="方正小标宋简体"/>
              <w:b w:val="0"/>
              <w:bCs w:val="0"/>
              <w:sz w:val="44"/>
              <w:szCs w:val="44"/>
              <w:lang w:val="en-US" w:eastAsia="zh-CN"/>
            </w:rPr>
            <w:sectPr>
              <w:footerReference r:id="rId3" w:type="default"/>
              <w:pgSz w:w="11906" w:h="16838"/>
              <w:pgMar w:top="1701" w:right="1134" w:bottom="1134" w:left="1474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="方正小标宋简体" w:hAnsi="方正小标宋简体" w:eastAsia="方正小标宋简体" w:cs="方正小标宋简体"/>
              <w:b/>
              <w:bCs w:val="0"/>
              <w:szCs w:val="44"/>
              <w:lang w:val="en-US" w:eastAsia="zh-CN"/>
            </w:rPr>
            <w:fldChar w:fldCharType="end"/>
          </w:r>
        </w:p>
      </w:sdtContent>
    </w:sdt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8" w:name="_Toc21491"/>
      <w:bookmarkStart w:id="9" w:name="_Toc2258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第一章  询价公告</w:t>
      </w:r>
      <w:bookmarkEnd w:id="8"/>
      <w:bookmarkEnd w:id="9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依据黄石市城发矿业有限公司计划，拟就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福尔泰化工有限公司不稳定边坡综合治理土石方评估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采用询价方式进行采购,欢迎符合资格条件供应商参与此项目。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left"/>
        <w:textAlignment w:val="auto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10" w:name="_Toc21610"/>
      <w:bookmarkStart w:id="11" w:name="_Toc22193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项目概况</w:t>
      </w:r>
      <w:bookmarkEnd w:id="10"/>
      <w:bookmarkEnd w:id="1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项目编号：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CFKY2023-005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福尔泰化工有限公司不稳定边坡综合治理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土石方评估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评估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周期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收到采购人评估委托后的5个日历天内完成评估工作并出具评估报告；总服务周期以该项目实施周期确定期限。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最高预算：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3.08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整个项目打包评估的包干费用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），超过最高价为无效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jc w:val="both"/>
        <w:textAlignment w:val="auto"/>
        <w:outlineLvl w:val="1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12" w:name="_Toc27526"/>
      <w:bookmarkStart w:id="13" w:name="_Toc16516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二、采购需求</w:t>
      </w:r>
      <w:bookmarkEnd w:id="12"/>
      <w:bookmarkEnd w:id="1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依据相关法律法规和行政监管文件要求及采购人委托，对该项目产生的土石方进行评估（服务期限内评估次数不少于4次，具体评估次数不定，直至该项目土石方销售完毕），并在收到采购人评估委托后的5个日历天内完成评估工作并出具评估报告，评估报告内容包括：项目产生的纯废石的市场评估单价、土夹石的市场评估单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1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14" w:name="_Toc10730"/>
      <w:bookmarkStart w:id="15" w:name="_Toc25168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三、资格条件</w:t>
      </w:r>
      <w:bookmarkEnd w:id="14"/>
      <w:bookmarkEnd w:id="1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合格的报价人应具有全面履行合同的能力，并应符合下列条件：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textAlignment w:val="auto"/>
        <w:rPr>
          <w:rStyle w:val="11"/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Style w:val="11"/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（一）</w:t>
      </w:r>
      <w:r>
        <w:rPr>
          <w:rStyle w:val="11"/>
          <w:rFonts w:hint="eastAsia" w:ascii="仿宋_GB2312" w:hAnsi="仿宋_GB2312" w:eastAsia="仿宋_GB2312" w:cs="仿宋_GB2312"/>
          <w:sz w:val="32"/>
          <w:szCs w:val="32"/>
          <w:highlight w:val="none"/>
        </w:rPr>
        <w:t>满足《中华人民共和国政府采购法》第二十二条规定</w:t>
      </w:r>
      <w:r>
        <w:rPr>
          <w:rStyle w:val="11"/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textAlignment w:val="auto"/>
        <w:rPr>
          <w:rStyle w:val="11"/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Style w:val="11"/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（二）</w:t>
      </w:r>
      <w:r>
        <w:rPr>
          <w:rStyle w:val="11"/>
          <w:rFonts w:hint="eastAsia" w:ascii="仿宋_GB2312" w:hAnsi="仿宋_GB2312" w:eastAsia="仿宋_GB2312" w:cs="仿宋_GB2312"/>
          <w:sz w:val="32"/>
          <w:szCs w:val="32"/>
          <w:highlight w:val="none"/>
        </w:rPr>
        <w:t>在中国境内注册并取得的具备独立法人资格的营业执照（三证合一），具有相应的经营范围，且在有效期内</w:t>
      </w:r>
      <w:r>
        <w:rPr>
          <w:rStyle w:val="11"/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textAlignment w:val="auto"/>
        <w:rPr>
          <w:rStyle w:val="11"/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Style w:val="11"/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（三）</w:t>
      </w:r>
      <w:r>
        <w:rPr>
          <w:rStyle w:val="11"/>
          <w:rFonts w:hint="eastAsia" w:ascii="仿宋_GB2312" w:hAnsi="仿宋_GB2312" w:eastAsia="仿宋_GB2312" w:cs="仿宋_GB2312"/>
          <w:sz w:val="32"/>
          <w:szCs w:val="32"/>
          <w:highlight w:val="none"/>
        </w:rPr>
        <w:t>参加政府采购活动前三年内（不足3年按公司成立时间起算），在经营活动中没有重大违法记录</w:t>
      </w:r>
      <w:r>
        <w:rPr>
          <w:rStyle w:val="11"/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textAlignment w:val="auto"/>
        <w:rPr>
          <w:rStyle w:val="11"/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Style w:val="11"/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（四）</w:t>
      </w:r>
      <w:r>
        <w:rPr>
          <w:rStyle w:val="11"/>
          <w:rFonts w:hint="eastAsia" w:ascii="仿宋_GB2312" w:hAnsi="仿宋_GB2312" w:eastAsia="仿宋_GB2312" w:cs="仿宋_GB2312"/>
          <w:sz w:val="32"/>
          <w:szCs w:val="32"/>
          <w:highlight w:val="none"/>
        </w:rPr>
        <w:t>近三年（</w:t>
      </w:r>
      <w:r>
        <w:rPr>
          <w:rStyle w:val="11"/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询价</w:t>
      </w:r>
      <w:r>
        <w:rPr>
          <w:rStyle w:val="11"/>
          <w:rFonts w:hint="eastAsia" w:ascii="仿宋_GB2312" w:hAnsi="仿宋_GB2312" w:eastAsia="仿宋_GB2312" w:cs="仿宋_GB2312"/>
          <w:sz w:val="32"/>
          <w:szCs w:val="32"/>
          <w:highlight w:val="none"/>
        </w:rPr>
        <w:t>截止日前三年）至少完成过类似</w:t>
      </w:r>
      <w:r>
        <w:rPr>
          <w:rStyle w:val="11"/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评估</w:t>
      </w:r>
      <w:r>
        <w:rPr>
          <w:rStyle w:val="11"/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业绩</w:t>
      </w:r>
      <w:r>
        <w:rPr>
          <w:rStyle w:val="11"/>
          <w:rFonts w:hint="eastAsia" w:ascii="仿宋_GB2312" w:hAnsi="仿宋_GB2312" w:eastAsia="仿宋_GB2312" w:cs="仿宋_GB2312"/>
          <w:sz w:val="32"/>
          <w:szCs w:val="32"/>
          <w:highlight w:val="none"/>
        </w:rPr>
        <w:t>（须提供中标通知书或合同协议书并加盖公章）</w:t>
      </w:r>
      <w:r>
        <w:rPr>
          <w:rStyle w:val="11"/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Style w:val="11"/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（五）具有2人及以上评估团队，并具有相关评估资质</w:t>
      </w:r>
      <w:r>
        <w:rPr>
          <w:rStyle w:val="11"/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（六）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未被列入“信用中国”网站(www.creditchina.gov.cn)失信被执行人、重大税收违法案件当事人、政府采购不良行为记录和“中国政府采购”网站（www.ccgp.gov.cn）政府采购严重违法失信行为记录名单，以评审当日查询结果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zh-CN"/>
        </w:rPr>
        <w:t>本项目不接受联合体。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（八）根据《关于在招标投标活动中对失信被执行人实施联合惩戒的通知》([2016]285 号)规定，投标人须通过“信用中国”(网址 www.creditchina.gov.cn)对本企业进行信用查询，若在“失信被执行人”名单中的，其投标无效，查询结果以当天在“信用中国”网站查询结果为准。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bookmarkStart w:id="16" w:name="_Toc32464"/>
      <w:bookmarkStart w:id="17" w:name="_Toc11973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四、询价报价文件内容（均需盖公章）</w:t>
      </w:r>
      <w:bookmarkEnd w:id="16"/>
      <w:bookmarkEnd w:id="1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报价表（附件1）；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授权委托书（附件2）；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营业执照副本或事业单位法人证书复印件；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“信用中国”查询截图；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评估</w:t>
      </w:r>
      <w:r>
        <w:rPr>
          <w:rFonts w:hint="eastAsia" w:ascii="仿宋_GB2312" w:hAnsi="仿宋_GB2312" w:eastAsia="仿宋_GB2312" w:cs="仿宋_GB2312"/>
          <w:sz w:val="32"/>
          <w:szCs w:val="32"/>
        </w:rPr>
        <w:t>团队成员介绍（提供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成员资质</w:t>
      </w:r>
      <w:r>
        <w:rPr>
          <w:rFonts w:hint="eastAsia" w:ascii="仿宋_GB2312" w:hAnsi="仿宋_GB2312" w:eastAsia="仿宋_GB2312" w:cs="仿宋_GB2312"/>
          <w:sz w:val="32"/>
          <w:szCs w:val="32"/>
        </w:rPr>
        <w:t>证书及劳动合同）；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承诺书（附件3）。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近三年业绩合同合同复印件。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备注：询价报价文件要求装订成册后密封，一式三份，报价大小写数据不一致以大写为准，总价与单价不一致以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总</w:t>
      </w:r>
      <w:r>
        <w:rPr>
          <w:rFonts w:hint="eastAsia" w:ascii="仿宋_GB2312" w:hAnsi="仿宋_GB2312" w:eastAsia="仿宋_GB2312" w:cs="仿宋_GB2312"/>
          <w:sz w:val="32"/>
          <w:szCs w:val="32"/>
        </w:rPr>
        <w:t>价为准。如有弄虚作假行为，视同放弃中标资格并承担相应的法律责任。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bookmarkStart w:id="18" w:name="_Toc16020"/>
      <w:bookmarkStart w:id="19" w:name="_Toc1173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五、中标原则</w:t>
      </w:r>
      <w:bookmarkEnd w:id="18"/>
      <w:bookmarkEnd w:id="19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符合以上要求，合理低价者为中标人。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bookmarkStart w:id="20" w:name="_Toc22706"/>
      <w:bookmarkStart w:id="21" w:name="_Toc32421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六、签订合同及付款方式</w:t>
      </w:r>
      <w:bookmarkEnd w:id="20"/>
      <w:bookmarkEnd w:id="2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采购文件、成交供应商的报价文件及有效承诺文件、澄清文件等，均作为签订合同的依据，付款方式为合同签订后30日内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支付合同款的50%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项目竣工后30日内付清全部合同款，</w:t>
      </w:r>
      <w:r>
        <w:rPr>
          <w:rFonts w:hint="eastAsia" w:ascii="仿宋_GB2312" w:hAnsi="仿宋_GB2312" w:eastAsia="仿宋_GB2312" w:cs="仿宋_GB2312"/>
          <w:sz w:val="32"/>
          <w:szCs w:val="32"/>
        </w:rPr>
        <w:t>具体以合同为准。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outlineLvl w:val="1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22" w:name="_Toc32676"/>
      <w:bookmarkStart w:id="23" w:name="_Toc22216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七、询价报价文件的递交</w:t>
      </w:r>
      <w:bookmarkEnd w:id="22"/>
      <w:bookmarkEnd w:id="2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询价报价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文件递交截止时间（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递交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时间）：202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20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instrText xml:space="preserve"> HYPERLINK "https://www.baidu.com/link?url=uL3RrtTBbv5YS27LDfW7zFtaCwgC40oB2h08ZBgDe-i&amp;amp;wd&amp;amp;eqid=f29a7d930012f6ac000000065d517826" \h </w:instrTex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递交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地</w:t>
      </w:r>
      <w:bookmarkStart w:id="39" w:name="_GoBack"/>
      <w:bookmarkEnd w:id="39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点：黄石市城发矿业有限公司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地址：黄石城发集团颐阳路办公区4楼会议室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询价报价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文件采取现场递交的方式进行，截至时间后递交的响应文件不予接收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24" w:name="_Toc538"/>
      <w:bookmarkStart w:id="25" w:name="_Toc29977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八、发布公告的媒介</w:t>
      </w:r>
      <w:bookmarkEnd w:id="24"/>
      <w:bookmarkEnd w:id="2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bookmarkStart w:id="26" w:name="_Toc73631899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公告在黄石市城市发展投资集团有限公司网上发布。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27" w:name="_Toc14156"/>
      <w:bookmarkStart w:id="28" w:name="_Toc4326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九、联系方式</w:t>
      </w:r>
      <w:bookmarkEnd w:id="26"/>
      <w:bookmarkEnd w:id="27"/>
      <w:bookmarkEnd w:id="28"/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采 购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人：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/>
        </w:rPr>
        <w:t>黄石市城发矿业有限公司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联 系 人：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樊  乔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电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话：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13986575303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420" w:firstLineChars="200"/>
        <w:textAlignment w:val="auto"/>
        <w:rPr>
          <w:rFonts w:hint="eastAsia" w:eastAsia="宋体" w:cs="宋体"/>
          <w:kern w:val="0"/>
          <w:sz w:val="21"/>
          <w:szCs w:val="21"/>
          <w:highlight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eastAsia="宋体" w:cs="宋体"/>
          <w:kern w:val="0"/>
          <w:sz w:val="21"/>
          <w:szCs w:val="21"/>
          <w:highlight w:val="none"/>
          <w:lang w:val="en-US" w:eastAsia="zh-CN" w:bidi="ar"/>
        </w:rPr>
        <w:t xml:space="preserve">                         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黄石市城发矿业有限公司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2023年6月15日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sectPr>
          <w:pgSz w:w="11906" w:h="16838"/>
          <w:pgMar w:top="1701" w:right="1134" w:bottom="1134" w:left="1474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29" w:name="_Toc9385"/>
      <w:bookmarkStart w:id="30" w:name="_Toc2827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第二章  附件</w:t>
      </w:r>
      <w:bookmarkEnd w:id="29"/>
      <w:bookmarkEnd w:id="30"/>
    </w:p>
    <w:p>
      <w:pPr>
        <w:adjustRightInd w:val="0"/>
        <w:snapToGrid w:val="0"/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spacing w:line="400" w:lineRule="exact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31" w:name="_Toc11679"/>
      <w:bookmarkStart w:id="32" w:name="_Toc17281"/>
      <w:r>
        <w:rPr>
          <w:rFonts w:hint="eastAsia" w:ascii="黑体" w:hAnsi="黑体" w:eastAsia="黑体" w:cs="黑体"/>
          <w:sz w:val="32"/>
          <w:szCs w:val="32"/>
        </w:rPr>
        <w:t>附件1</w:t>
      </w:r>
      <w:bookmarkEnd w:id="31"/>
      <w:bookmarkEnd w:id="32"/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  价  表</w:t>
      </w:r>
    </w:p>
    <w:p>
      <w:pPr>
        <w:adjustRightInd w:val="0"/>
        <w:snapToGrid w:val="0"/>
        <w:spacing w:line="400" w:lineRule="exac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项目名称：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福尔泰化工有限公司不稳定边坡综合治理土石方评估</w:t>
      </w:r>
      <w:r>
        <w:rPr>
          <w:rFonts w:hint="eastAsia" w:ascii="仿宋_GB2312" w:hAnsi="仿宋" w:eastAsia="仿宋_GB2312" w:cs="仿宋"/>
          <w:sz w:val="32"/>
          <w:szCs w:val="32"/>
        </w:rPr>
        <w:t>项目</w:t>
      </w:r>
    </w:p>
    <w:tbl>
      <w:tblPr>
        <w:tblStyle w:val="9"/>
        <w:tblW w:w="9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2"/>
        <w:gridCol w:w="2681"/>
        <w:gridCol w:w="2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4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项目名称</w:t>
            </w:r>
          </w:p>
        </w:tc>
        <w:tc>
          <w:tcPr>
            <w:tcW w:w="2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报价（万元）</w:t>
            </w:r>
          </w:p>
        </w:tc>
        <w:tc>
          <w:tcPr>
            <w:tcW w:w="2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4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  <w:lang w:val="en-US" w:eastAsia="zh-CN"/>
              </w:rPr>
              <w:t>福尔泰化工有限公司不稳定边坡综合治理土石方评估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项目</w:t>
            </w:r>
          </w:p>
        </w:tc>
        <w:tc>
          <w:tcPr>
            <w:tcW w:w="2681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257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4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大写</w:t>
            </w:r>
          </w:p>
        </w:tc>
        <w:tc>
          <w:tcPr>
            <w:tcW w:w="5256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参与报价单位（盖章）：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法定代表人或其委托代理人（签字）：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21"/>
          <w:szCs w:val="21"/>
        </w:rPr>
      </w:pPr>
      <w:r>
        <w:rPr>
          <w:rFonts w:hint="eastAsia" w:ascii="仿宋_GB2312" w:hAnsi="仿宋" w:eastAsia="仿宋_GB2312" w:cs="仿宋"/>
          <w:sz w:val="32"/>
          <w:szCs w:val="32"/>
        </w:rPr>
        <w:t>年    月   日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21"/>
          <w:szCs w:val="21"/>
        </w:rPr>
      </w:pP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21"/>
          <w:szCs w:val="21"/>
        </w:rPr>
      </w:pP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21"/>
          <w:szCs w:val="21"/>
        </w:rPr>
      </w:pP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sectPr>
          <w:pgSz w:w="11906" w:h="16838"/>
          <w:pgMar w:top="1701" w:right="1134" w:bottom="1134" w:left="1474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33" w:name="_Toc6389"/>
      <w:bookmarkStart w:id="34" w:name="_Toc6344"/>
      <w:r>
        <w:rPr>
          <w:rFonts w:hint="eastAsia" w:ascii="黑体" w:hAnsi="黑体" w:eastAsia="黑体" w:cs="黑体"/>
          <w:sz w:val="32"/>
          <w:szCs w:val="32"/>
        </w:rPr>
        <w:t>附件2</w:t>
      </w:r>
      <w:bookmarkEnd w:id="33"/>
      <w:bookmarkEnd w:id="34"/>
      <w:r>
        <w:rPr>
          <w:rFonts w:hint="eastAsia" w:ascii="黑体" w:hAnsi="黑体" w:eastAsia="黑体" w:cs="黑体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35" w:name="_Toc6559"/>
      <w:bookmarkStart w:id="36" w:name="_Toc386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法定代表人授权委托书</w:t>
      </w:r>
      <w:bookmarkEnd w:id="35"/>
      <w:bookmarkEnd w:id="3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本授权委托书声明：我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（姓名）</w:t>
      </w:r>
      <w:r>
        <w:rPr>
          <w:rFonts w:hint="eastAsia" w:ascii="仿宋_GB2312" w:hAnsi="仿宋" w:eastAsia="仿宋_GB2312" w:cs="仿宋"/>
          <w:sz w:val="32"/>
          <w:szCs w:val="32"/>
        </w:rPr>
        <w:t>系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（响应人）    </w:t>
      </w:r>
      <w:r>
        <w:rPr>
          <w:rFonts w:hint="eastAsia" w:ascii="仿宋_GB2312" w:hAnsi="仿宋" w:eastAsia="仿宋_GB2312" w:cs="仿宋"/>
          <w:sz w:val="32"/>
          <w:szCs w:val="32"/>
        </w:rPr>
        <w:t>的法定代表人，现授权委托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（姓名）       </w:t>
      </w:r>
      <w:r>
        <w:rPr>
          <w:rFonts w:hint="eastAsia" w:ascii="仿宋_GB2312" w:hAnsi="仿宋" w:eastAsia="仿宋_GB2312" w:cs="仿宋"/>
          <w:sz w:val="32"/>
          <w:szCs w:val="32"/>
        </w:rPr>
        <w:t>为我的代理人，以本公司/单位的名义参加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（采购人） </w:t>
      </w:r>
      <w:r>
        <w:rPr>
          <w:rFonts w:hint="eastAsia" w:ascii="仿宋_GB2312" w:hAnsi="仿宋" w:eastAsia="仿宋_GB2312" w:cs="仿宋"/>
          <w:sz w:val="32"/>
          <w:szCs w:val="32"/>
        </w:rPr>
        <w:t>的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（项目名称）      </w:t>
      </w:r>
      <w:r>
        <w:rPr>
          <w:rFonts w:hint="eastAsia" w:ascii="仿宋_GB2312" w:hAnsi="仿宋" w:eastAsia="仿宋_GB2312" w:cs="仿宋"/>
          <w:sz w:val="32"/>
          <w:szCs w:val="32"/>
        </w:rPr>
        <w:t>的投标。授权委托人在询价、合同谈判过程中所签署的一切文件和处理与之有关的一切事务，我均予以承认。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代理人无转委托权，特此委托。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供应商（盖章）：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法定代表人（盖章/签字）：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代理人：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性别：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年龄：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身份证号码：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职务：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授权委托有效期：    年   月  日 至    年   月  日 </w:t>
      </w:r>
    </w:p>
    <w:tbl>
      <w:tblPr>
        <w:tblStyle w:val="9"/>
        <w:tblW w:w="0" w:type="auto"/>
        <w:tblInd w:w="3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2" w:hRule="atLeast"/>
        </w:trPr>
        <w:tc>
          <w:tcPr>
            <w:tcW w:w="8449" w:type="dxa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仿宋" w:eastAsia="仿宋_GB2312" w:cs="仿宋"/>
                <w:sz w:val="21"/>
                <w:szCs w:val="21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粘贴法定代表人和被授权人身份证（复印件）</w:t>
            </w:r>
          </w:p>
        </w:tc>
      </w:tr>
    </w:tbl>
    <w:p/>
    <w:p>
      <w:pPr>
        <w:pStyle w:val="2"/>
        <w:rPr>
          <w:rFonts w:hint="eastAsia"/>
          <w:lang w:val="en-US" w:eastAsia="zh-CN"/>
        </w:rPr>
        <w:sectPr>
          <w:pgSz w:w="11906" w:h="16838"/>
          <w:pgMar w:top="1701" w:right="1134" w:bottom="1134" w:left="1474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400" w:lineRule="exact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37" w:name="_Toc6225"/>
      <w:bookmarkStart w:id="38" w:name="_Toc4823"/>
      <w:r>
        <w:rPr>
          <w:rFonts w:hint="eastAsia" w:ascii="黑体" w:hAnsi="黑体" w:eastAsia="黑体" w:cs="黑体"/>
          <w:sz w:val="32"/>
          <w:szCs w:val="32"/>
        </w:rPr>
        <w:t>附件3</w:t>
      </w:r>
      <w:bookmarkEnd w:id="37"/>
      <w:bookmarkEnd w:id="38"/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黄石市城发矿业有限公司</w:t>
      </w:r>
      <w:r>
        <w:rPr>
          <w:rFonts w:hint="eastAsia" w:ascii="仿宋_GB2312" w:hAnsi="仿宋" w:eastAsia="仿宋_GB2312" w:cs="仿宋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贵公司在该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询价公告</w:t>
      </w:r>
      <w:r>
        <w:rPr>
          <w:rFonts w:hint="eastAsia" w:ascii="仿宋_GB2312" w:hAnsi="仿宋" w:eastAsia="仿宋_GB2312" w:cs="仿宋"/>
          <w:sz w:val="32"/>
          <w:szCs w:val="32"/>
        </w:rPr>
        <w:t>所约定的“服务内容”及“工作要求”，本公司已知悉且完全可满足服务要求，并承诺在贵公司要求的时限内及时提供相关服务和取得相应成果，如有虚假承诺，本公司愿承担一切责任。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             承诺人（盖章）：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        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   承诺时间：   年  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  日</w:t>
      </w:r>
    </w:p>
    <w:sectPr>
      <w:pgSz w:w="11906" w:h="16838"/>
      <w:pgMar w:top="1701" w:right="113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A606EE"/>
    <w:multiLevelType w:val="singleLevel"/>
    <w:tmpl w:val="14A606E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2YWZkZDk3ODJiYTU0NzQ0Mzc1ZDNiNWU5MjNjZmUifQ=="/>
  </w:docVars>
  <w:rsids>
    <w:rsidRoot w:val="17BE0565"/>
    <w:rsid w:val="17672CB5"/>
    <w:rsid w:val="17BE0565"/>
    <w:rsid w:val="19A57F6F"/>
    <w:rsid w:val="2966092F"/>
    <w:rsid w:val="32911237"/>
    <w:rsid w:val="49DE7162"/>
    <w:rsid w:val="49FD6A0D"/>
    <w:rsid w:val="50403BB1"/>
    <w:rsid w:val="551F0EC3"/>
    <w:rsid w:val="5ACF69B4"/>
    <w:rsid w:val="5FB24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字"/>
    <w:basedOn w:val="3"/>
    <w:next w:val="1"/>
    <w:qFormat/>
    <w:uiPriority w:val="99"/>
    <w:pPr>
      <w:ind w:firstLine="200"/>
    </w:pPr>
    <w:rPr>
      <w:rFonts w:ascii="仿宋_GB2312" w:eastAsia="仿宋_GB2312"/>
      <w:sz w:val="32"/>
      <w:szCs w:val="32"/>
    </w:rPr>
  </w:style>
  <w:style w:type="paragraph" w:styleId="3">
    <w:name w:val="Body Text First Indent"/>
    <w:basedOn w:val="4"/>
    <w:qFormat/>
    <w:uiPriority w:val="0"/>
    <w:pPr>
      <w:ind w:firstLine="420" w:firstLineChars="100"/>
    </w:pPr>
  </w:style>
  <w:style w:type="paragraph" w:styleId="4">
    <w:name w:val="Body Text"/>
    <w:basedOn w:val="1"/>
    <w:next w:val="3"/>
    <w:qFormat/>
    <w:uiPriority w:val="0"/>
    <w:pPr>
      <w:spacing w:after="120"/>
    </w:p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1">
    <w:name w:val="NormalCharacter"/>
    <w:qFormat/>
    <w:uiPriority w:val="0"/>
  </w:style>
  <w:style w:type="paragraph" w:customStyle="1" w:styleId="12">
    <w:name w:val="首行缩进"/>
    <w:basedOn w:val="1"/>
    <w:qFormat/>
    <w:uiPriority w:val="0"/>
    <w:pPr>
      <w:spacing w:line="360" w:lineRule="auto"/>
      <w:ind w:firstLine="480" w:firstLineChars="200"/>
    </w:pPr>
    <w:rPr>
      <w:sz w:val="24"/>
    </w:rPr>
  </w:style>
  <w:style w:type="paragraph" w:customStyle="1" w:styleId="13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4">
    <w:name w:val="WPSOffice手动目录 2"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1922</Words>
  <Characters>2040</Characters>
  <Lines>0</Lines>
  <Paragraphs>0</Paragraphs>
  <TotalTime>0</TotalTime>
  <ScaleCrop>false</ScaleCrop>
  <LinksUpToDate>false</LinksUpToDate>
  <CharactersWithSpaces>2424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2023-06-15T00:45:00Z</dcterms:created>
  <dc:creator>乔</dc:creator>
  <cp:lastModifiedBy>乔</cp:lastModifiedBy>
  <cp:lastPrinted>2023-06-15T06:41:47Z</cp:lastPrinted>
  <dcterms:modified xsi:type="dcterms:W3CDTF">2023-06-15T06:47:33Z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3E91343C86BF486A95BEF4B303CBEC04_11</vt:lpwstr>
  </property>
</Properties>
</file>