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40" w:lineRule="atLeast"/>
        <w:jc w:val="center"/>
        <w:rPr>
          <w:rFonts w:ascii="宋体" w:hAnsi="宋体" w:eastAsia="宋体" w:cs="宋体"/>
          <w:b/>
          <w:bCs/>
          <w:kern w:val="0"/>
          <w:sz w:val="32"/>
          <w:szCs w:val="32"/>
          <w:highlight w:val="none"/>
        </w:rPr>
      </w:pPr>
      <w:r>
        <w:rPr>
          <w:rFonts w:hint="eastAsia" w:ascii="宋体" w:hAnsi="宋体" w:eastAsia="宋体" w:cs="宋体"/>
          <w:b/>
          <w:bCs/>
          <w:kern w:val="0"/>
          <w:sz w:val="32"/>
          <w:szCs w:val="32"/>
          <w:highlight w:val="none"/>
          <w:lang w:eastAsia="zh-CN"/>
        </w:rPr>
        <w:t>黄石城区段长江岸线综合整治工程—沿江大道交通标识划线工程</w:t>
      </w:r>
      <w:r>
        <w:rPr>
          <w:rFonts w:hint="eastAsia" w:ascii="宋体" w:hAnsi="宋体" w:eastAsia="宋体" w:cs="宋体"/>
          <w:b/>
          <w:bCs/>
          <w:kern w:val="0"/>
          <w:sz w:val="32"/>
          <w:szCs w:val="32"/>
          <w:highlight w:val="none"/>
        </w:rPr>
        <w:t xml:space="preserve">项目遴选公告 </w:t>
      </w:r>
    </w:p>
    <w:p>
      <w:pPr>
        <w:widowControl/>
        <w:spacing w:line="440" w:lineRule="atLeast"/>
        <w:jc w:val="center"/>
        <w:rPr>
          <w:rFonts w:ascii="宋体" w:hAnsi="宋体" w:eastAsia="宋体" w:cs="宋体"/>
          <w:b/>
          <w:bCs/>
          <w:kern w:val="0"/>
          <w:szCs w:val="21"/>
          <w:highlight w:val="none"/>
        </w:rPr>
      </w:pPr>
    </w:p>
    <w:p>
      <w:pPr>
        <w:widowControl/>
        <w:shd w:val="clear" w:color="auto" w:fill="FFFFFF"/>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黄石城发工程咨询有限公司受黄石市城市发展投资集团有限公司的委托，拟就</w:t>
      </w:r>
      <w:r>
        <w:rPr>
          <w:rFonts w:hint="eastAsia" w:ascii="宋体" w:hAnsi="宋体" w:cs="宋体"/>
          <w:kern w:val="0"/>
          <w:szCs w:val="21"/>
          <w:highlight w:val="none"/>
          <w:lang w:eastAsia="zh-CN"/>
        </w:rPr>
        <w:t>黄石城区段长江岸线综合整治工程—沿江大道交通标识划线工程</w:t>
      </w:r>
      <w:r>
        <w:rPr>
          <w:rFonts w:hint="eastAsia" w:ascii="宋体" w:hAnsi="宋体" w:cs="宋体"/>
          <w:kern w:val="0"/>
          <w:szCs w:val="21"/>
          <w:highlight w:val="none"/>
        </w:rPr>
        <w:t xml:space="preserve">项目以集团平台公开遴选方式选取实施人。 </w:t>
      </w:r>
    </w:p>
    <w:p>
      <w:pPr>
        <w:widowControl/>
        <w:shd w:val="clear" w:color="auto" w:fill="FFFFFF"/>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一、项目名称：</w:t>
      </w:r>
      <w:r>
        <w:rPr>
          <w:rFonts w:hint="eastAsia" w:ascii="宋体" w:hAnsi="宋体" w:cs="宋体"/>
          <w:kern w:val="0"/>
          <w:szCs w:val="21"/>
          <w:highlight w:val="none"/>
          <w:lang w:eastAsia="zh-CN"/>
        </w:rPr>
        <w:t>黄石城区段长江岸线综合整治工程—沿江大道交通标识划线工程</w:t>
      </w:r>
    </w:p>
    <w:p>
      <w:pPr>
        <w:widowControl/>
        <w:shd w:val="clear" w:color="auto" w:fill="FFFFFF"/>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二、项目概况：</w:t>
      </w:r>
    </w:p>
    <w:p>
      <w:pPr>
        <w:widowControl/>
        <w:shd w:val="clear" w:color="auto" w:fill="FFFFFF"/>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1、控制价金额为</w:t>
      </w:r>
      <w:r>
        <w:rPr>
          <w:rFonts w:hint="eastAsia" w:ascii="宋体" w:hAnsi="宋体" w:cs="宋体"/>
          <w:kern w:val="0"/>
          <w:szCs w:val="21"/>
          <w:highlight w:val="none"/>
          <w:lang w:val="en-US" w:eastAsia="zh-CN"/>
        </w:rPr>
        <w:t>76</w:t>
      </w:r>
      <w:r>
        <w:rPr>
          <w:rFonts w:hint="eastAsia" w:ascii="宋体" w:hAnsi="宋体" w:cs="宋体"/>
          <w:kern w:val="0"/>
          <w:szCs w:val="21"/>
          <w:highlight w:val="none"/>
        </w:rPr>
        <w:t>万元</w:t>
      </w:r>
      <w:r>
        <w:rPr>
          <w:rFonts w:hint="eastAsia" w:ascii="宋体" w:hAnsi="宋体" w:cs="宋体"/>
          <w:kern w:val="0"/>
          <w:szCs w:val="21"/>
          <w:highlight w:val="none"/>
          <w:lang w:eastAsia="zh-CN"/>
        </w:rPr>
        <w:t>，</w:t>
      </w:r>
      <w:r>
        <w:rPr>
          <w:rFonts w:hint="eastAsia" w:ascii="宋体" w:hAnsi="宋体"/>
          <w:color w:val="000000"/>
          <w:szCs w:val="21"/>
          <w:highlight w:val="none"/>
          <w:lang w:eastAsia="zh-CN"/>
        </w:rPr>
        <w:t>以综合单价据实结算</w:t>
      </w:r>
      <w:r>
        <w:rPr>
          <w:rFonts w:hint="eastAsia" w:ascii="宋体" w:hAnsi="宋体" w:cs="宋体"/>
          <w:kern w:val="0"/>
          <w:szCs w:val="21"/>
          <w:highlight w:val="none"/>
        </w:rPr>
        <w:t>。</w:t>
      </w:r>
    </w:p>
    <w:p>
      <w:pPr>
        <w:widowControl/>
        <w:shd w:val="clear" w:color="auto" w:fill="FFFFFF"/>
        <w:spacing w:line="360" w:lineRule="auto"/>
        <w:ind w:firstLine="420" w:firstLineChars="200"/>
        <w:rPr>
          <w:rFonts w:hint="default" w:ascii="宋体" w:hAnsi="宋体" w:cs="宋体" w:eastAsiaTheme="minorEastAsia"/>
          <w:kern w:val="0"/>
          <w:szCs w:val="21"/>
          <w:highlight w:val="none"/>
          <w:lang w:val="en-US" w:eastAsia="zh-CN"/>
        </w:rPr>
      </w:pPr>
      <w:r>
        <w:rPr>
          <w:rFonts w:hint="eastAsia" w:ascii="宋体" w:hAnsi="宋体" w:cs="宋体"/>
          <w:kern w:val="0"/>
          <w:szCs w:val="21"/>
          <w:highlight w:val="none"/>
        </w:rPr>
        <w:t>2、遴选范围：黄石城区段长江岸线沿江大道交通标线包括各种路面标线、导向箭头、文字、立面标记等施工</w:t>
      </w:r>
      <w:r>
        <w:rPr>
          <w:rFonts w:hint="eastAsia" w:ascii="宋体" w:hAnsi="宋体" w:cs="宋体"/>
          <w:kern w:val="0"/>
          <w:szCs w:val="21"/>
          <w:highlight w:val="none"/>
          <w:lang w:eastAsia="zh-CN"/>
        </w:rPr>
        <w:t>（包含局部路面冲洗），详细内容以设计施工图为准。</w:t>
      </w:r>
    </w:p>
    <w:p>
      <w:pPr>
        <w:widowControl/>
        <w:shd w:val="clear" w:color="auto" w:fill="FFFFFF"/>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3、工期：</w:t>
      </w:r>
      <w:r>
        <w:rPr>
          <w:rFonts w:hint="eastAsia" w:ascii="宋体" w:hAnsi="宋体" w:cs="宋体"/>
          <w:kern w:val="0"/>
          <w:szCs w:val="21"/>
          <w:highlight w:val="none"/>
          <w:lang w:val="en-US" w:eastAsia="zh-CN"/>
        </w:rPr>
        <w:t>12天</w:t>
      </w:r>
      <w:r>
        <w:rPr>
          <w:rFonts w:ascii="宋体" w:hAnsi="宋体" w:cs="宋体"/>
          <w:kern w:val="0"/>
          <w:szCs w:val="21"/>
          <w:highlight w:val="none"/>
        </w:rPr>
        <w:t>。</w:t>
      </w:r>
    </w:p>
    <w:p>
      <w:pPr>
        <w:widowControl/>
        <w:shd w:val="clear" w:color="auto" w:fill="FFFFFF"/>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4、质量目标</w:t>
      </w:r>
      <w:r>
        <w:rPr>
          <w:rFonts w:hint="eastAsia" w:ascii="宋体" w:hAnsi="宋体" w:cs="宋体"/>
          <w:kern w:val="0"/>
          <w:szCs w:val="21"/>
          <w:highlight w:val="none"/>
          <w:lang w:eastAsia="zh-CN"/>
        </w:rPr>
        <w:t>及缺陷责任期</w:t>
      </w:r>
      <w:r>
        <w:rPr>
          <w:rFonts w:hint="eastAsia" w:ascii="宋体" w:hAnsi="宋体" w:cs="宋体"/>
          <w:kern w:val="0"/>
          <w:szCs w:val="21"/>
          <w:highlight w:val="none"/>
        </w:rPr>
        <w:t>：</w:t>
      </w:r>
      <w:r>
        <w:rPr>
          <w:rFonts w:hint="eastAsia" w:asciiTheme="minorEastAsia" w:hAnsiTheme="minorEastAsia"/>
          <w:szCs w:val="21"/>
          <w:highlight w:val="none"/>
          <w:lang w:val="en-GB"/>
        </w:rPr>
        <w:t>所有标线必须能在验收合格后12个月内保证完好率为95%以上；</w:t>
      </w:r>
      <w:r>
        <w:rPr>
          <w:rFonts w:hint="eastAsia" w:ascii="宋体" w:hAnsi="宋体" w:cs="宋体"/>
          <w:kern w:val="0"/>
          <w:szCs w:val="21"/>
          <w:highlight w:val="none"/>
        </w:rPr>
        <w:t>。</w:t>
      </w:r>
    </w:p>
    <w:p>
      <w:pPr>
        <w:widowControl/>
        <w:shd w:val="clear" w:color="auto" w:fill="FFFFFF"/>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5、付款方式：</w:t>
      </w:r>
      <w:r>
        <w:rPr>
          <w:rFonts w:hint="eastAsia" w:ascii="宋体" w:hAnsi="宋体" w:cs="宋体"/>
          <w:sz w:val="21"/>
          <w:szCs w:val="21"/>
        </w:rPr>
        <w:t>无预付款，无进度款，</w:t>
      </w:r>
      <w:r>
        <w:rPr>
          <w:rFonts w:ascii="宋体" w:hAnsi="宋体" w:cs="宋体"/>
          <w:sz w:val="21"/>
          <w:szCs w:val="21"/>
        </w:rPr>
        <w:t>工程</w:t>
      </w:r>
      <w:r>
        <w:rPr>
          <w:rFonts w:hint="eastAsia" w:ascii="宋体" w:hAnsi="宋体" w:cs="宋体"/>
          <w:sz w:val="21"/>
          <w:szCs w:val="21"/>
        </w:rPr>
        <w:t>完工</w:t>
      </w:r>
      <w:r>
        <w:rPr>
          <w:rFonts w:ascii="宋体" w:hAnsi="宋体" w:cs="宋体"/>
          <w:sz w:val="21"/>
          <w:szCs w:val="21"/>
        </w:rPr>
        <w:t>验收合格后支付至合同</w:t>
      </w:r>
      <w:r>
        <w:rPr>
          <w:rFonts w:hint="eastAsia" w:ascii="宋体" w:hAnsi="宋体" w:cs="宋体"/>
          <w:sz w:val="21"/>
          <w:szCs w:val="21"/>
        </w:rPr>
        <w:t>金额的</w:t>
      </w:r>
      <w:r>
        <w:rPr>
          <w:rFonts w:ascii="宋体" w:hAnsi="宋体" w:cs="宋体"/>
          <w:sz w:val="21"/>
          <w:szCs w:val="21"/>
        </w:rPr>
        <w:t>80%，审计结果确认后支付</w:t>
      </w:r>
      <w:r>
        <w:rPr>
          <w:rFonts w:hint="eastAsia" w:ascii="宋体" w:hAnsi="宋体" w:cs="宋体"/>
          <w:sz w:val="21"/>
          <w:szCs w:val="21"/>
        </w:rPr>
        <w:t>至结算审计</w:t>
      </w:r>
      <w:r>
        <w:rPr>
          <w:rFonts w:ascii="宋体" w:hAnsi="宋体" w:cs="宋体"/>
          <w:sz w:val="21"/>
          <w:szCs w:val="21"/>
        </w:rPr>
        <w:t>金额至9</w:t>
      </w:r>
      <w:r>
        <w:rPr>
          <w:rFonts w:hint="eastAsia" w:ascii="宋体" w:hAnsi="宋体" w:cs="宋体"/>
          <w:sz w:val="21"/>
          <w:szCs w:val="21"/>
        </w:rPr>
        <w:t>5</w:t>
      </w:r>
      <w:r>
        <w:rPr>
          <w:rFonts w:ascii="宋体" w:hAnsi="宋体" w:cs="宋体"/>
          <w:sz w:val="21"/>
          <w:szCs w:val="21"/>
        </w:rPr>
        <w:t>%，剩余</w:t>
      </w:r>
      <w:r>
        <w:rPr>
          <w:rFonts w:hint="eastAsia" w:ascii="宋体" w:hAnsi="宋体" w:cs="宋体"/>
          <w:sz w:val="21"/>
          <w:szCs w:val="21"/>
        </w:rPr>
        <w:t>5</w:t>
      </w:r>
      <w:r>
        <w:rPr>
          <w:rFonts w:ascii="宋体" w:hAnsi="宋体" w:cs="宋体"/>
          <w:sz w:val="21"/>
          <w:szCs w:val="21"/>
        </w:rPr>
        <w:t>%作为质保金待缺陷责任期满无质量缺陷后无息支付</w:t>
      </w:r>
      <w:r>
        <w:rPr>
          <w:rFonts w:hint="eastAsia" w:ascii="宋体" w:hAnsi="宋体" w:cs="宋体"/>
          <w:sz w:val="21"/>
          <w:szCs w:val="21"/>
        </w:rPr>
        <w:t>。</w:t>
      </w:r>
    </w:p>
    <w:p>
      <w:pPr>
        <w:widowControl/>
        <w:shd w:val="clear" w:color="auto" w:fill="FFFFFF"/>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三、投标人资格要求：</w:t>
      </w:r>
    </w:p>
    <w:p>
      <w:pPr>
        <w:widowControl/>
        <w:shd w:val="clear" w:color="auto" w:fill="FFFFFF"/>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w:t>
      </w:r>
      <w:r>
        <w:rPr>
          <w:rFonts w:ascii="宋体" w:hAnsi="宋体" w:cs="宋体"/>
          <w:kern w:val="0"/>
          <w:szCs w:val="21"/>
          <w:highlight w:val="none"/>
        </w:rPr>
        <w:t>在中国境内注册并取得营业执照，具有独立法人资格，提供有效营业执照</w:t>
      </w:r>
      <w:r>
        <w:rPr>
          <w:rFonts w:hint="eastAsia" w:ascii="宋体" w:hAnsi="宋体" w:cs="宋体"/>
          <w:kern w:val="0"/>
          <w:szCs w:val="21"/>
          <w:highlight w:val="none"/>
        </w:rPr>
        <w:t>；</w:t>
      </w:r>
    </w:p>
    <w:p>
      <w:pPr>
        <w:widowControl/>
        <w:shd w:val="clear" w:color="auto" w:fill="FFFFFF"/>
        <w:spacing w:line="360" w:lineRule="auto"/>
        <w:ind w:firstLine="420" w:firstLineChars="200"/>
        <w:rPr>
          <w:rFonts w:hint="eastAsia"/>
          <w:highlight w:val="none"/>
          <w:lang w:eastAsia="zh-CN"/>
        </w:rPr>
      </w:pPr>
      <w:r>
        <w:rPr>
          <w:rFonts w:hint="eastAsia" w:ascii="宋体" w:hAnsi="宋体" w:cs="宋体"/>
          <w:kern w:val="0"/>
          <w:szCs w:val="21"/>
          <w:highlight w:val="none"/>
          <w:lang w:val="en-US" w:eastAsia="zh-CN"/>
        </w:rPr>
        <w:t>2、</w:t>
      </w:r>
      <w:r>
        <w:rPr>
          <w:rFonts w:hint="eastAsia"/>
          <w:highlight w:val="none"/>
        </w:rPr>
        <w:t>本次招标要求投标人须具备</w:t>
      </w:r>
      <w:r>
        <w:rPr>
          <w:rFonts w:hint="eastAsia" w:ascii="宋体" w:hAnsi="宋体"/>
          <w:sz w:val="21"/>
          <w:szCs w:val="21"/>
          <w:lang w:val="zh-CN"/>
        </w:rPr>
        <w:t>行政主管部门核发的公路交通工程专业承包</w:t>
      </w:r>
      <w:bookmarkStart w:id="11" w:name="_GoBack"/>
      <w:bookmarkEnd w:id="11"/>
      <w:r>
        <w:rPr>
          <w:rFonts w:hint="eastAsia" w:ascii="宋体" w:hAnsi="宋体"/>
          <w:sz w:val="21"/>
          <w:szCs w:val="21"/>
          <w:lang w:val="zh-CN"/>
        </w:rPr>
        <w:t>贰级及以上资质（公路安全设施分项）</w:t>
      </w:r>
      <w:r>
        <w:rPr>
          <w:rFonts w:hint="eastAsia"/>
          <w:highlight w:val="none"/>
          <w:lang w:eastAsia="zh-CN"/>
        </w:rPr>
        <w:t>。具有有效的安全生产许可证。</w:t>
      </w:r>
    </w:p>
    <w:p>
      <w:pPr>
        <w:widowControl/>
        <w:shd w:val="clear" w:color="auto" w:fill="FFFFFF"/>
        <w:spacing w:line="360" w:lineRule="auto"/>
        <w:ind w:firstLine="420" w:firstLineChars="200"/>
        <w:rPr>
          <w:rFonts w:hint="eastAsia" w:ascii="宋体" w:hAnsi="宋体" w:eastAsia="宋体" w:cs="宋体"/>
          <w:highlight w:val="none"/>
          <w:lang w:eastAsia="zh-CN"/>
        </w:rPr>
      </w:pPr>
      <w:r>
        <w:rPr>
          <w:rFonts w:hint="eastAsia" w:ascii="宋体" w:hAnsi="宋体" w:eastAsia="宋体" w:cs="宋体"/>
          <w:highlight w:val="none"/>
          <w:lang w:eastAsia="zh-CN"/>
        </w:rPr>
        <w:t>3、项目负责人必须具公路工程贰级及以上建造师资格证书，且具有有效的安全生产考核合格证书（B 证），且未担任其他在建工程。（需提供近</w:t>
      </w:r>
      <w:r>
        <w:rPr>
          <w:rFonts w:hint="eastAsia" w:ascii="宋体" w:hAnsi="宋体" w:eastAsia="宋体" w:cs="宋体"/>
          <w:highlight w:val="none"/>
          <w:lang w:val="en-US" w:eastAsia="zh-CN"/>
        </w:rPr>
        <w:t>6</w:t>
      </w:r>
      <w:r>
        <w:rPr>
          <w:rFonts w:hint="eastAsia" w:ascii="宋体" w:hAnsi="宋体" w:eastAsia="宋体" w:cs="宋体"/>
          <w:highlight w:val="none"/>
          <w:lang w:eastAsia="zh-CN"/>
        </w:rPr>
        <w:t>个月的社保证明）。</w:t>
      </w:r>
    </w:p>
    <w:p>
      <w:pPr>
        <w:widowControl/>
        <w:shd w:val="clear" w:color="auto" w:fill="FFFFFF"/>
        <w:spacing w:line="360" w:lineRule="auto"/>
        <w:ind w:firstLine="420" w:firstLineChars="200"/>
        <w:rPr>
          <w:rFonts w:hint="eastAsia" w:ascii="宋体" w:hAnsi="宋体" w:eastAsia="宋体" w:cs="宋体"/>
          <w:highlight w:val="none"/>
          <w:lang w:eastAsia="zh-CN"/>
        </w:rPr>
      </w:pPr>
      <w:r>
        <w:rPr>
          <w:rFonts w:hint="eastAsia" w:ascii="宋体" w:hAnsi="宋体" w:eastAsia="宋体" w:cs="宋体"/>
          <w:highlight w:val="none"/>
          <w:lang w:eastAsia="zh-CN"/>
        </w:rPr>
        <w:t>4、投标人针对本项目所投入的施工员和安全员各1人配置齐备，提供人员岗位证书；（需提供近</w:t>
      </w:r>
      <w:r>
        <w:rPr>
          <w:rFonts w:hint="eastAsia" w:ascii="宋体" w:hAnsi="宋体" w:eastAsia="宋体" w:cs="宋体"/>
          <w:highlight w:val="none"/>
          <w:lang w:val="en-US" w:eastAsia="zh-CN"/>
        </w:rPr>
        <w:t>6</w:t>
      </w:r>
      <w:r>
        <w:rPr>
          <w:rFonts w:hint="eastAsia" w:ascii="宋体" w:hAnsi="宋体" w:eastAsia="宋体" w:cs="宋体"/>
          <w:highlight w:val="none"/>
          <w:lang w:eastAsia="zh-CN"/>
        </w:rPr>
        <w:t xml:space="preserve">个月的社保证明）。 </w:t>
      </w:r>
    </w:p>
    <w:p>
      <w:pPr>
        <w:widowControl/>
        <w:shd w:val="clear" w:color="auto" w:fill="FFFFFF"/>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2、本次遴选要求</w:t>
      </w:r>
      <w:r>
        <w:rPr>
          <w:rFonts w:hint="eastAsia" w:ascii="宋体" w:hAnsi="宋体" w:cs="宋体"/>
          <w:kern w:val="0"/>
          <w:szCs w:val="21"/>
          <w:highlight w:val="none"/>
          <w:lang w:eastAsia="zh-CN"/>
        </w:rPr>
        <w:t>投标人</w:t>
      </w:r>
      <w:r>
        <w:rPr>
          <w:rFonts w:hint="eastAsia" w:ascii="宋体" w:hAnsi="宋体" w:cs="宋体"/>
          <w:kern w:val="0"/>
          <w:szCs w:val="21"/>
          <w:highlight w:val="none"/>
        </w:rPr>
        <w:t>在</w:t>
      </w:r>
      <w:r>
        <w:rPr>
          <w:rFonts w:hint="eastAsia" w:ascii="宋体" w:hAnsi="宋体" w:cs="宋体"/>
          <w:kern w:val="0"/>
          <w:szCs w:val="21"/>
          <w:highlight w:val="none"/>
          <w:lang w:eastAsia="zh-CN"/>
        </w:rPr>
        <w:t>近</w:t>
      </w:r>
      <w:r>
        <w:rPr>
          <w:rFonts w:hint="eastAsia" w:ascii="宋体" w:hAnsi="宋体" w:cs="宋体"/>
          <w:kern w:val="0"/>
          <w:szCs w:val="21"/>
          <w:highlight w:val="none"/>
        </w:rPr>
        <w:t>三年中至少</w:t>
      </w:r>
      <w:r>
        <w:rPr>
          <w:rFonts w:hint="eastAsia" w:ascii="宋体" w:hAnsi="宋体" w:cs="宋体"/>
          <w:kern w:val="0"/>
          <w:szCs w:val="21"/>
          <w:highlight w:val="none"/>
          <w:lang w:eastAsia="zh-CN"/>
        </w:rPr>
        <w:t>完成过一项合同金额在</w:t>
      </w:r>
      <w:r>
        <w:rPr>
          <w:rFonts w:hint="eastAsia" w:ascii="宋体" w:hAnsi="宋体" w:cs="宋体"/>
          <w:kern w:val="0"/>
          <w:szCs w:val="21"/>
          <w:highlight w:val="none"/>
          <w:lang w:val="en-US" w:eastAsia="zh-CN"/>
        </w:rPr>
        <w:t>50万元及以上道路</w:t>
      </w:r>
      <w:r>
        <w:rPr>
          <w:rFonts w:hint="eastAsia" w:ascii="宋体" w:hAnsi="宋体"/>
          <w:sz w:val="21"/>
          <w:szCs w:val="21"/>
          <w:lang w:val="zh-CN"/>
        </w:rPr>
        <w:t>标识划线</w:t>
      </w:r>
      <w:r>
        <w:rPr>
          <w:rFonts w:hint="eastAsia" w:ascii="宋体" w:hAnsi="宋体" w:cs="宋体"/>
          <w:kern w:val="0"/>
          <w:szCs w:val="21"/>
          <w:highlight w:val="none"/>
          <w:lang w:val="en-US" w:eastAsia="zh-CN"/>
        </w:rPr>
        <w:t>工程</w:t>
      </w:r>
      <w:r>
        <w:rPr>
          <w:rFonts w:hint="eastAsia" w:ascii="宋体" w:hAnsi="宋体" w:cs="宋体"/>
          <w:kern w:val="0"/>
          <w:szCs w:val="21"/>
          <w:highlight w:val="none"/>
        </w:rPr>
        <w:t>施工业绩。（近三年承担过的类似工程是指</w:t>
      </w:r>
      <w:r>
        <w:rPr>
          <w:rFonts w:ascii="宋体" w:hAnsi="宋体" w:cs="宋体"/>
          <w:kern w:val="0"/>
          <w:szCs w:val="21"/>
          <w:highlight w:val="none"/>
        </w:rPr>
        <w:t>201</w:t>
      </w:r>
      <w:r>
        <w:rPr>
          <w:rFonts w:hint="eastAsia" w:ascii="宋体" w:hAnsi="宋体" w:cs="宋体"/>
          <w:kern w:val="0"/>
          <w:szCs w:val="21"/>
          <w:highlight w:val="none"/>
        </w:rPr>
        <w:t>9年</w:t>
      </w:r>
      <w:r>
        <w:rPr>
          <w:rFonts w:hint="eastAsia" w:ascii="宋体" w:hAnsi="宋体" w:cs="宋体"/>
          <w:kern w:val="0"/>
          <w:szCs w:val="21"/>
          <w:highlight w:val="none"/>
          <w:lang w:val="en-US" w:eastAsia="zh-CN"/>
        </w:rPr>
        <w:t>9</w:t>
      </w:r>
      <w:r>
        <w:rPr>
          <w:rFonts w:hint="eastAsia" w:ascii="宋体" w:hAnsi="宋体" w:cs="宋体"/>
          <w:kern w:val="0"/>
          <w:szCs w:val="21"/>
          <w:highlight w:val="none"/>
        </w:rPr>
        <w:t>月</w:t>
      </w:r>
      <w:r>
        <w:rPr>
          <w:rFonts w:ascii="宋体" w:hAnsi="宋体" w:cs="宋体"/>
          <w:kern w:val="0"/>
          <w:szCs w:val="21"/>
          <w:highlight w:val="none"/>
        </w:rPr>
        <w:t>1</w:t>
      </w:r>
      <w:r>
        <w:rPr>
          <w:rFonts w:hint="eastAsia" w:ascii="宋体" w:hAnsi="宋体" w:cs="宋体"/>
          <w:kern w:val="0"/>
          <w:szCs w:val="21"/>
          <w:highlight w:val="none"/>
        </w:rPr>
        <w:t>日起至投标截止日期止）</w:t>
      </w:r>
    </w:p>
    <w:p>
      <w:pPr>
        <w:widowControl/>
        <w:shd w:val="clear" w:color="auto" w:fill="FFFFFF"/>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3、投标人参加遴选前三年内未被列入“信用中国”网站(www.creditchina.gov.cn)失信被执行人、重大税收违法案件当事人、严重违法失信行为记录名单（查询时间以发布本公告之后查询结果为准，并将查询结果“截图”加盖公章附在投标文件中）。</w:t>
      </w:r>
    </w:p>
    <w:p>
      <w:pPr>
        <w:widowControl/>
        <w:shd w:val="clear" w:color="auto" w:fill="FFFFFF"/>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4、本项目不接受联合体申请。</w:t>
      </w:r>
    </w:p>
    <w:p>
      <w:pPr>
        <w:widowControl/>
        <w:shd w:val="clear" w:color="auto" w:fill="FFFFFF"/>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四、报名方式</w:t>
      </w:r>
    </w:p>
    <w:p>
      <w:pPr>
        <w:widowControl/>
        <w:shd w:val="clear" w:color="auto" w:fill="FFFFFF"/>
        <w:spacing w:line="360" w:lineRule="auto"/>
        <w:ind w:firstLine="420" w:firstLineChars="200"/>
        <w:rPr>
          <w:rFonts w:ascii="宋体" w:hAnsi="宋体" w:cs="宋体"/>
          <w:kern w:val="0"/>
          <w:szCs w:val="21"/>
          <w:highlight w:val="none"/>
        </w:rPr>
      </w:pPr>
      <w:r>
        <w:rPr>
          <w:rFonts w:ascii="宋体" w:hAnsi="宋体" w:cs="宋体"/>
          <w:kern w:val="0"/>
          <w:szCs w:val="21"/>
          <w:highlight w:val="none"/>
        </w:rPr>
        <w:t>1、</w:t>
      </w:r>
      <w:r>
        <w:rPr>
          <w:rFonts w:hint="eastAsia" w:ascii="宋体" w:hAnsi="宋体" w:cs="宋体"/>
          <w:kern w:val="0"/>
          <w:szCs w:val="21"/>
          <w:highlight w:val="none"/>
        </w:rPr>
        <w:t>报名</w:t>
      </w:r>
      <w:r>
        <w:rPr>
          <w:rFonts w:ascii="宋体" w:hAnsi="宋体" w:cs="宋体"/>
          <w:kern w:val="0"/>
          <w:szCs w:val="21"/>
          <w:highlight w:val="none"/>
        </w:rPr>
        <w:t>方式：</w:t>
      </w:r>
      <w:r>
        <w:rPr>
          <w:rFonts w:hint="eastAsia" w:ascii="宋体" w:hAnsi="宋体" w:cs="宋体"/>
          <w:kern w:val="0"/>
          <w:szCs w:val="21"/>
          <w:highlight w:val="none"/>
        </w:rPr>
        <w:t>各遴选申请人于2022年</w:t>
      </w:r>
      <w:r>
        <w:rPr>
          <w:rFonts w:hint="eastAsia" w:ascii="宋体" w:hAnsi="宋体" w:cs="宋体"/>
          <w:kern w:val="0"/>
          <w:szCs w:val="21"/>
          <w:highlight w:val="none"/>
          <w:lang w:val="en-US" w:eastAsia="zh-CN"/>
        </w:rPr>
        <w:t>9</w:t>
      </w:r>
      <w:r>
        <w:rPr>
          <w:rFonts w:hint="eastAsia" w:ascii="宋体" w:hAnsi="宋体" w:cs="宋体"/>
          <w:kern w:val="0"/>
          <w:szCs w:val="21"/>
          <w:highlight w:val="none"/>
        </w:rPr>
        <w:t>月</w:t>
      </w:r>
      <w:r>
        <w:rPr>
          <w:rFonts w:hint="eastAsia" w:ascii="宋体" w:hAnsi="宋体" w:cs="宋体"/>
          <w:kern w:val="0"/>
          <w:szCs w:val="21"/>
          <w:highlight w:val="none"/>
          <w:lang w:val="en-US" w:eastAsia="zh-CN"/>
        </w:rPr>
        <w:t>13</w:t>
      </w:r>
      <w:r>
        <w:rPr>
          <w:rFonts w:hint="eastAsia" w:ascii="宋体" w:hAnsi="宋体" w:cs="宋体"/>
          <w:kern w:val="0"/>
          <w:szCs w:val="21"/>
          <w:highlight w:val="none"/>
        </w:rPr>
        <w:t>日16点前</w:t>
      </w:r>
      <w:r>
        <w:rPr>
          <w:rFonts w:ascii="宋体" w:hAnsi="宋体" w:cs="宋体"/>
          <w:kern w:val="0"/>
          <w:szCs w:val="21"/>
          <w:highlight w:val="none"/>
        </w:rPr>
        <w:t>通过</w:t>
      </w:r>
      <w:r>
        <w:rPr>
          <w:rFonts w:hint="eastAsia" w:ascii="宋体" w:hAnsi="宋体" w:cs="宋体"/>
          <w:kern w:val="0"/>
          <w:szCs w:val="21"/>
          <w:highlight w:val="none"/>
        </w:rPr>
        <w:t>城发集团官网</w:t>
      </w:r>
      <w:r>
        <w:rPr>
          <w:rFonts w:ascii="宋体" w:hAnsi="宋体" w:cs="宋体"/>
          <w:kern w:val="0"/>
          <w:szCs w:val="21"/>
          <w:highlight w:val="none"/>
        </w:rPr>
        <w:t>公告附件下载</w:t>
      </w:r>
      <w:r>
        <w:rPr>
          <w:rFonts w:hint="eastAsia" w:ascii="宋体" w:hAnsi="宋体" w:cs="宋体"/>
          <w:kern w:val="0"/>
          <w:szCs w:val="21"/>
          <w:highlight w:val="none"/>
        </w:rPr>
        <w:t>报名表</w:t>
      </w:r>
      <w:r>
        <w:rPr>
          <w:rFonts w:hint="eastAsia" w:ascii="宋体" w:hAnsi="宋体" w:cs="宋体"/>
          <w:kern w:val="0"/>
          <w:szCs w:val="21"/>
          <w:highlight w:val="none"/>
          <w:lang w:eastAsia="zh-CN"/>
        </w:rPr>
        <w:t>并递交</w:t>
      </w:r>
      <w:r>
        <w:rPr>
          <w:rFonts w:hint="eastAsia" w:ascii="宋体" w:hAnsi="宋体" w:cs="宋体"/>
          <w:kern w:val="0"/>
          <w:szCs w:val="21"/>
          <w:highlight w:val="none"/>
          <w:lang w:val="en-US" w:eastAsia="zh-CN"/>
        </w:rPr>
        <w:t>300元投标报名费</w:t>
      </w:r>
      <w:r>
        <w:rPr>
          <w:rFonts w:hint="eastAsia" w:ascii="宋体" w:hAnsi="宋体" w:cs="宋体"/>
          <w:kern w:val="0"/>
          <w:szCs w:val="21"/>
          <w:highlight w:val="none"/>
        </w:rPr>
        <w:t>，</w:t>
      </w:r>
      <w:r>
        <w:rPr>
          <w:highlight w:val="none"/>
        </w:rPr>
        <w:fldChar w:fldCharType="begin"/>
      </w:r>
      <w:r>
        <w:rPr>
          <w:highlight w:val="none"/>
        </w:rPr>
        <w:instrText xml:space="preserve"> HYPERLINK "mailto:填写报名表连同报名费交纳凭证发送至13700253@qq.com" </w:instrText>
      </w:r>
      <w:r>
        <w:rPr>
          <w:highlight w:val="none"/>
        </w:rPr>
        <w:fldChar w:fldCharType="separate"/>
      </w:r>
      <w:r>
        <w:rPr>
          <w:rStyle w:val="20"/>
          <w:rFonts w:hint="eastAsia" w:ascii="宋体" w:hAnsi="宋体" w:cs="宋体"/>
          <w:kern w:val="0"/>
          <w:szCs w:val="21"/>
          <w:highlight w:val="none"/>
        </w:rPr>
        <w:t>填写报名表连同报名费交纳凭证发送至13700253@qq.com</w:t>
      </w:r>
      <w:r>
        <w:rPr>
          <w:rStyle w:val="20"/>
          <w:rFonts w:hint="eastAsia" w:ascii="宋体" w:hAnsi="宋体" w:cs="宋体"/>
          <w:kern w:val="0"/>
          <w:szCs w:val="21"/>
          <w:highlight w:val="none"/>
        </w:rPr>
        <w:fldChar w:fldCharType="end"/>
      </w:r>
      <w:r>
        <w:rPr>
          <w:rFonts w:ascii="宋体" w:hAnsi="宋体" w:cs="宋体"/>
          <w:kern w:val="0"/>
          <w:szCs w:val="21"/>
          <w:highlight w:val="none"/>
        </w:rPr>
        <w:t>。</w:t>
      </w:r>
    </w:p>
    <w:p>
      <w:pPr>
        <w:widowControl/>
        <w:shd w:val="clear" w:color="auto" w:fill="FFFFFF"/>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户名：黄石城发工程咨询有限公司</w:t>
      </w:r>
    </w:p>
    <w:p>
      <w:pPr>
        <w:widowControl/>
        <w:shd w:val="clear" w:color="auto" w:fill="FFFFFF"/>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帐号：714903123910101</w:t>
      </w:r>
    </w:p>
    <w:p>
      <w:pPr>
        <w:widowControl/>
        <w:shd w:val="clear" w:color="auto" w:fill="FFFFFF"/>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开户行：招商银行股份有限公司黄石分行营业部</w:t>
      </w:r>
    </w:p>
    <w:p>
      <w:pPr>
        <w:widowControl/>
        <w:shd w:val="clear" w:color="auto" w:fill="FFFFFF"/>
        <w:spacing w:line="360" w:lineRule="auto"/>
        <w:ind w:firstLine="420" w:firstLineChars="200"/>
        <w:rPr>
          <w:rFonts w:ascii="宋体" w:hAnsi="宋体" w:cs="宋体"/>
          <w:kern w:val="0"/>
          <w:szCs w:val="21"/>
          <w:highlight w:val="none"/>
        </w:rPr>
      </w:pPr>
      <w:r>
        <w:rPr>
          <w:rFonts w:hint="eastAsia" w:ascii="宋体" w:hAnsi="宋体" w:cs="宋体"/>
          <w:szCs w:val="21"/>
          <w:highlight w:val="none"/>
        </w:rPr>
        <w:t>本项目招标代理费参照（计价格【2002】1980号）文标准的50%计取，</w:t>
      </w:r>
      <w:r>
        <w:rPr>
          <w:rFonts w:hint="eastAsia" w:ascii="宋体" w:hAnsi="宋体" w:cs="宋体"/>
          <w:szCs w:val="21"/>
          <w:highlight w:val="none"/>
          <w:lang w:eastAsia="zh-CN"/>
        </w:rPr>
        <w:t>不足</w:t>
      </w:r>
      <w:r>
        <w:rPr>
          <w:rFonts w:hint="eastAsia" w:ascii="宋体" w:hAnsi="宋体" w:cs="宋体"/>
          <w:szCs w:val="21"/>
          <w:highlight w:val="none"/>
          <w:lang w:val="en-US" w:eastAsia="zh-CN"/>
        </w:rPr>
        <w:t>3000元按3000元计算，</w:t>
      </w:r>
      <w:r>
        <w:rPr>
          <w:rFonts w:hint="eastAsia" w:ascii="宋体" w:hAnsi="宋体" w:cs="宋体"/>
          <w:szCs w:val="21"/>
          <w:highlight w:val="none"/>
        </w:rPr>
        <w:t>由中标人领取中标通知书时一次性向代理机构交纳。</w:t>
      </w:r>
    </w:p>
    <w:p>
      <w:pPr>
        <w:widowControl/>
        <w:shd w:val="clear" w:color="auto" w:fill="FFFFFF"/>
        <w:spacing w:line="360" w:lineRule="auto"/>
        <w:ind w:firstLine="420" w:firstLineChars="200"/>
        <w:rPr>
          <w:rFonts w:ascii="宋体" w:hAnsi="宋体" w:cs="宋体"/>
          <w:kern w:val="0"/>
          <w:szCs w:val="21"/>
          <w:highlight w:val="none"/>
        </w:rPr>
      </w:pPr>
      <w:r>
        <w:rPr>
          <w:rFonts w:ascii="宋体" w:hAnsi="宋体" w:cs="宋体"/>
          <w:kern w:val="0"/>
          <w:szCs w:val="21"/>
          <w:highlight w:val="none"/>
        </w:rPr>
        <w:t>2、若招标时间、地点以及招标项目其它相关内容发生变更，将在</w:t>
      </w:r>
      <w:r>
        <w:rPr>
          <w:rFonts w:hint="eastAsia" w:ascii="宋体" w:hAnsi="宋体" w:cs="宋体"/>
          <w:kern w:val="0"/>
          <w:szCs w:val="21"/>
          <w:highlight w:val="none"/>
        </w:rPr>
        <w:t>城发集团官网</w:t>
      </w:r>
      <w:r>
        <w:rPr>
          <w:rFonts w:ascii="宋体" w:hAnsi="宋体" w:cs="宋体"/>
          <w:kern w:val="0"/>
          <w:szCs w:val="21"/>
          <w:highlight w:val="none"/>
        </w:rPr>
        <w:t xml:space="preserve">发布变更公告，请各投标人随时关注相关信息。 </w:t>
      </w:r>
    </w:p>
    <w:p>
      <w:pPr>
        <w:spacing w:line="360" w:lineRule="auto"/>
        <w:ind w:firstLine="422" w:firstLineChars="200"/>
        <w:rPr>
          <w:rFonts w:ascii="宋体" w:hAnsi="宋体" w:cs="宋体"/>
          <w:szCs w:val="21"/>
          <w:highlight w:val="none"/>
        </w:rPr>
      </w:pPr>
      <w:r>
        <w:rPr>
          <w:rFonts w:hint="eastAsia" w:ascii="宋体" w:cs="宋体"/>
          <w:b/>
          <w:bCs/>
          <w:kern w:val="0"/>
          <w:szCs w:val="21"/>
          <w:highlight w:val="none"/>
        </w:rPr>
        <w:t>五</w:t>
      </w:r>
      <w:r>
        <w:rPr>
          <w:rFonts w:ascii="宋体" w:cs="宋体"/>
          <w:b/>
          <w:bCs/>
          <w:kern w:val="0"/>
          <w:szCs w:val="21"/>
          <w:highlight w:val="none"/>
        </w:rPr>
        <w:t>、</w:t>
      </w:r>
      <w:r>
        <w:rPr>
          <w:rFonts w:hint="eastAsia" w:ascii="宋体" w:cs="宋体"/>
          <w:b/>
          <w:bCs/>
          <w:kern w:val="0"/>
          <w:szCs w:val="21"/>
          <w:highlight w:val="none"/>
        </w:rPr>
        <w:t>遴选响应文件</w:t>
      </w:r>
      <w:r>
        <w:rPr>
          <w:rFonts w:ascii="宋体" w:cs="宋体"/>
          <w:b/>
          <w:bCs/>
          <w:kern w:val="0"/>
          <w:szCs w:val="21"/>
          <w:highlight w:val="none"/>
        </w:rPr>
        <w:t xml:space="preserve">递交截止时间、地点： </w:t>
      </w:r>
    </w:p>
    <w:p>
      <w:pPr>
        <w:widowControl/>
        <w:shd w:val="clear" w:color="auto" w:fill="FFFFFF"/>
        <w:spacing w:line="360" w:lineRule="auto"/>
        <w:ind w:firstLine="420" w:firstLineChars="200"/>
        <w:rPr>
          <w:rFonts w:ascii="宋体" w:hAnsi="宋体" w:cs="宋体"/>
          <w:kern w:val="0"/>
          <w:szCs w:val="21"/>
          <w:highlight w:val="none"/>
        </w:rPr>
      </w:pPr>
      <w:r>
        <w:rPr>
          <w:rFonts w:ascii="宋体" w:hAnsi="宋体" w:cs="宋体"/>
          <w:kern w:val="0"/>
          <w:szCs w:val="21"/>
          <w:highlight w:val="none"/>
        </w:rPr>
        <w:t>1、投标文件递交截止时间（开标时间）：202</w:t>
      </w:r>
      <w:r>
        <w:rPr>
          <w:rFonts w:hint="eastAsia" w:ascii="宋体" w:hAnsi="宋体" w:cs="宋体"/>
          <w:kern w:val="0"/>
          <w:szCs w:val="21"/>
          <w:highlight w:val="none"/>
        </w:rPr>
        <w:t>2</w:t>
      </w:r>
      <w:r>
        <w:rPr>
          <w:rFonts w:ascii="宋体" w:hAnsi="宋体" w:cs="宋体"/>
          <w:kern w:val="0"/>
          <w:szCs w:val="21"/>
          <w:highlight w:val="none"/>
        </w:rPr>
        <w:t>年</w:t>
      </w:r>
      <w:r>
        <w:rPr>
          <w:rFonts w:hint="eastAsia" w:ascii="宋体" w:hAnsi="宋体" w:cs="宋体"/>
          <w:kern w:val="0"/>
          <w:szCs w:val="21"/>
          <w:highlight w:val="none"/>
          <w:lang w:val="en-US" w:eastAsia="zh-CN"/>
        </w:rPr>
        <w:t>9</w:t>
      </w:r>
      <w:r>
        <w:rPr>
          <w:rFonts w:ascii="宋体" w:hAnsi="宋体" w:cs="宋体"/>
          <w:kern w:val="0"/>
          <w:szCs w:val="21"/>
          <w:highlight w:val="none"/>
        </w:rPr>
        <w:t>月</w:t>
      </w:r>
      <w:r>
        <w:rPr>
          <w:rFonts w:hint="eastAsia" w:ascii="宋体" w:hAnsi="宋体" w:cs="宋体"/>
          <w:kern w:val="0"/>
          <w:szCs w:val="21"/>
          <w:highlight w:val="none"/>
          <w:lang w:val="en-US" w:eastAsia="zh-CN"/>
        </w:rPr>
        <w:t>14</w:t>
      </w:r>
      <w:r>
        <w:rPr>
          <w:rFonts w:ascii="宋体" w:hAnsi="宋体" w:cs="宋体"/>
          <w:kern w:val="0"/>
          <w:szCs w:val="21"/>
          <w:highlight w:val="none"/>
        </w:rPr>
        <w:t>日</w:t>
      </w:r>
      <w:r>
        <w:rPr>
          <w:rFonts w:hint="eastAsia" w:ascii="宋体" w:hAnsi="宋体" w:cs="宋体"/>
          <w:kern w:val="0"/>
          <w:szCs w:val="21"/>
          <w:highlight w:val="none"/>
          <w:lang w:val="en-US" w:eastAsia="zh-CN"/>
        </w:rPr>
        <w:t xml:space="preserve"> 14</w:t>
      </w:r>
      <w:r>
        <w:rPr>
          <w:rFonts w:ascii="宋体" w:hAnsi="宋体" w:cs="宋体"/>
          <w:kern w:val="0"/>
          <w:szCs w:val="21"/>
          <w:highlight w:val="none"/>
        </w:rPr>
        <w:t>时</w:t>
      </w:r>
      <w:r>
        <w:rPr>
          <w:rFonts w:hint="eastAsia" w:ascii="宋体" w:hAnsi="宋体" w:cs="宋体"/>
          <w:kern w:val="0"/>
          <w:szCs w:val="21"/>
          <w:highlight w:val="none"/>
          <w:lang w:val="en-US" w:eastAsia="zh-CN"/>
        </w:rPr>
        <w:t>30</w:t>
      </w:r>
      <w:r>
        <w:rPr>
          <w:rFonts w:ascii="宋体" w:hAnsi="宋体" w:cs="宋体"/>
          <w:kern w:val="0"/>
          <w:szCs w:val="21"/>
          <w:highlight w:val="none"/>
        </w:rPr>
        <w:t>分。</w:t>
      </w:r>
    </w:p>
    <w:p>
      <w:pPr>
        <w:widowControl/>
        <w:shd w:val="clear" w:color="auto" w:fill="FFFFFF"/>
        <w:spacing w:line="360" w:lineRule="auto"/>
        <w:ind w:firstLine="420" w:firstLineChars="200"/>
        <w:rPr>
          <w:rFonts w:ascii="宋体" w:hAnsi="宋体" w:cs="宋体"/>
          <w:kern w:val="0"/>
          <w:szCs w:val="21"/>
          <w:highlight w:val="none"/>
        </w:rPr>
      </w:pPr>
      <w:r>
        <w:rPr>
          <w:highlight w:val="none"/>
        </w:rPr>
        <w:fldChar w:fldCharType="begin"/>
      </w:r>
      <w:r>
        <w:rPr>
          <w:highlight w:val="none"/>
        </w:rPr>
        <w:instrText xml:space="preserve"> HYPERLINK "https://www.baidu.com/link?url=uL3RrtTBbv5YS27LDfW7zFtaCwgC40oB2h08ZBgDe-i&amp;amp;wd&amp;amp;eqid=f29a7d930012f6ac000000065d517826" \h </w:instrText>
      </w:r>
      <w:r>
        <w:rPr>
          <w:highlight w:val="none"/>
        </w:rPr>
        <w:fldChar w:fldCharType="separate"/>
      </w:r>
      <w:r>
        <w:rPr>
          <w:rFonts w:ascii="宋体" w:hAnsi="宋体" w:cs="宋体"/>
          <w:kern w:val="0"/>
          <w:szCs w:val="21"/>
          <w:highlight w:val="none"/>
        </w:rPr>
        <w:t>2、开标地点：黄石市城市发展投资集团有限公司</w:t>
      </w:r>
      <w:r>
        <w:rPr>
          <w:rFonts w:ascii="宋体" w:hAnsi="宋体" w:cs="宋体"/>
          <w:kern w:val="0"/>
          <w:szCs w:val="21"/>
          <w:highlight w:val="none"/>
        </w:rPr>
        <w:fldChar w:fldCharType="end"/>
      </w:r>
      <w:r>
        <w:rPr>
          <w:rFonts w:ascii="宋体" w:hAnsi="宋体" w:cs="宋体"/>
          <w:kern w:val="0"/>
          <w:szCs w:val="21"/>
          <w:highlight w:val="none"/>
        </w:rPr>
        <w:t>3号楼3楼开标室</w:t>
      </w:r>
    </w:p>
    <w:p>
      <w:pPr>
        <w:widowControl/>
        <w:shd w:val="clear" w:color="auto" w:fill="FFFFFF"/>
        <w:spacing w:line="360" w:lineRule="auto"/>
        <w:ind w:firstLine="420" w:firstLineChars="200"/>
        <w:rPr>
          <w:rFonts w:ascii="宋体" w:hAnsi="宋体" w:cs="宋体"/>
          <w:kern w:val="0"/>
          <w:szCs w:val="21"/>
          <w:highlight w:val="none"/>
        </w:rPr>
      </w:pPr>
      <w:r>
        <w:rPr>
          <w:rFonts w:ascii="宋体" w:hAnsi="宋体" w:cs="宋体"/>
          <w:kern w:val="0"/>
          <w:szCs w:val="21"/>
          <w:highlight w:val="none"/>
        </w:rPr>
        <w:t>3、本次项目采取网上递交及网络开标的方式进行，截止时间后递交的投标文件不予接收。即</w:t>
      </w:r>
      <w:r>
        <w:rPr>
          <w:rFonts w:hint="eastAsia" w:ascii="宋体" w:hAnsi="宋体" w:cs="宋体"/>
          <w:kern w:val="0"/>
          <w:szCs w:val="21"/>
          <w:highlight w:val="none"/>
        </w:rPr>
        <w:t>申请人</w:t>
      </w:r>
      <w:r>
        <w:rPr>
          <w:rFonts w:ascii="宋体" w:hAnsi="宋体" w:cs="宋体"/>
          <w:kern w:val="0"/>
          <w:szCs w:val="21"/>
          <w:highlight w:val="none"/>
        </w:rPr>
        <w:t>在</w:t>
      </w:r>
      <w:r>
        <w:rPr>
          <w:rFonts w:hint="eastAsia" w:ascii="宋体" w:hAnsi="宋体" w:cs="宋体"/>
          <w:kern w:val="0"/>
          <w:szCs w:val="21"/>
          <w:highlight w:val="none"/>
        </w:rPr>
        <w:t>遴选响应</w:t>
      </w:r>
      <w:r>
        <w:rPr>
          <w:rFonts w:ascii="宋体" w:hAnsi="宋体" w:cs="宋体"/>
          <w:kern w:val="0"/>
          <w:szCs w:val="21"/>
          <w:highlight w:val="none"/>
        </w:rPr>
        <w:t>文件上规定的</w:t>
      </w:r>
      <w:r>
        <w:rPr>
          <w:rFonts w:hint="eastAsia" w:ascii="宋体" w:hAnsi="宋体" w:cs="宋体"/>
          <w:kern w:val="0"/>
          <w:szCs w:val="21"/>
          <w:highlight w:val="none"/>
        </w:rPr>
        <w:t>递交</w:t>
      </w:r>
      <w:r>
        <w:rPr>
          <w:rFonts w:ascii="宋体" w:hAnsi="宋体" w:cs="宋体"/>
          <w:kern w:val="0"/>
          <w:szCs w:val="21"/>
          <w:highlight w:val="none"/>
        </w:rPr>
        <w:t>截止时间前，将投标文件转换成PDF格式并加密上传到（</w:t>
      </w:r>
      <w:r>
        <w:rPr>
          <w:rFonts w:hint="eastAsia" w:ascii="宋体" w:hAnsi="宋体" w:cs="宋体"/>
          <w:kern w:val="0"/>
          <w:szCs w:val="21"/>
          <w:highlight w:val="none"/>
        </w:rPr>
        <w:t>13700253@qq.com）</w:t>
      </w:r>
      <w:r>
        <w:rPr>
          <w:rFonts w:ascii="宋体" w:hAnsi="宋体" w:cs="宋体"/>
          <w:kern w:val="0"/>
          <w:szCs w:val="21"/>
          <w:highlight w:val="none"/>
        </w:rPr>
        <w:t>）邮箱。其中投标人递交投标文件时一定要在“邮件主题”上标注参与项目的名称+投标人名称。</w:t>
      </w:r>
    </w:p>
    <w:p>
      <w:pPr>
        <w:widowControl/>
        <w:shd w:val="clear" w:color="auto" w:fill="FFFFFF"/>
        <w:spacing w:line="360" w:lineRule="auto"/>
        <w:ind w:firstLine="420" w:firstLineChars="200"/>
        <w:rPr>
          <w:rFonts w:ascii="宋体" w:hAnsi="宋体" w:cs="宋体"/>
          <w:kern w:val="0"/>
          <w:szCs w:val="21"/>
          <w:highlight w:val="none"/>
        </w:rPr>
      </w:pPr>
      <w:r>
        <w:rPr>
          <w:rFonts w:ascii="宋体" w:hAnsi="宋体" w:cs="宋体"/>
          <w:kern w:val="0"/>
          <w:szCs w:val="21"/>
          <w:highlight w:val="none"/>
        </w:rPr>
        <w:t>本次开标采用网络开标，采用的会议软件为“腾讯会议”，请各投标人授权代表（即参会人员）提前用带视频功能的手机或电脑下载“腾讯会议”，并提前自行测试，防止意外出现。湖北城发设计咨询集团有限公司在投标文件递交截止时间后，将本次开标会的会议时间、会议ID及密码以邮件回传给在规定时间内递交了投标文件的投标人的投标邮箱。投标人不要使用163、1</w:t>
      </w:r>
      <w:r>
        <w:rPr>
          <w:rFonts w:hint="eastAsia" w:ascii="宋体" w:hAnsi="宋体" w:cs="宋体"/>
          <w:kern w:val="0"/>
          <w:szCs w:val="21"/>
          <w:highlight w:val="none"/>
        </w:rPr>
        <w:t>26</w:t>
      </w:r>
      <w:r>
        <w:rPr>
          <w:rFonts w:ascii="宋体" w:hAnsi="宋体" w:cs="宋体"/>
          <w:kern w:val="0"/>
          <w:szCs w:val="21"/>
          <w:highlight w:val="none"/>
        </w:rPr>
        <w:t>邮箱（该类型邮箱下载限速，影响开标进程），也不要将文件压缩。</w:t>
      </w:r>
    </w:p>
    <w:p>
      <w:pPr>
        <w:pStyle w:val="3"/>
        <w:spacing w:after="0" w:line="360" w:lineRule="auto"/>
        <w:ind w:firstLine="422" w:firstLineChars="200"/>
        <w:rPr>
          <w:rFonts w:cs="宋体"/>
          <w:b/>
          <w:bCs/>
          <w:w w:val="99"/>
          <w:szCs w:val="21"/>
          <w:highlight w:val="none"/>
        </w:rPr>
      </w:pPr>
      <w:r>
        <w:rPr>
          <w:rFonts w:hint="eastAsia" w:cs="宋体"/>
          <w:b/>
          <w:bCs/>
          <w:szCs w:val="21"/>
          <w:highlight w:val="none"/>
        </w:rPr>
        <w:t>六</w:t>
      </w:r>
      <w:r>
        <w:rPr>
          <w:rFonts w:cs="宋体"/>
          <w:b/>
          <w:bCs/>
          <w:szCs w:val="21"/>
          <w:highlight w:val="none"/>
        </w:rPr>
        <w:t>、发布公告的媒介</w:t>
      </w:r>
      <w:r>
        <w:rPr>
          <w:rFonts w:cs="宋体"/>
          <w:b/>
          <w:bCs/>
          <w:w w:val="99"/>
          <w:szCs w:val="21"/>
          <w:highlight w:val="none"/>
        </w:rPr>
        <w:t xml:space="preserve"> </w:t>
      </w:r>
    </w:p>
    <w:p>
      <w:pPr>
        <w:pStyle w:val="3"/>
        <w:spacing w:after="0" w:line="360" w:lineRule="auto"/>
        <w:ind w:firstLine="420" w:firstLineChars="200"/>
        <w:rPr>
          <w:szCs w:val="21"/>
          <w:highlight w:val="none"/>
        </w:rPr>
      </w:pPr>
      <w:r>
        <w:rPr>
          <w:szCs w:val="21"/>
          <w:highlight w:val="none"/>
        </w:rPr>
        <w:t>本次</w:t>
      </w:r>
      <w:r>
        <w:rPr>
          <w:rFonts w:hint="eastAsia"/>
          <w:szCs w:val="21"/>
          <w:highlight w:val="none"/>
        </w:rPr>
        <w:t>遴选</w:t>
      </w:r>
      <w:r>
        <w:rPr>
          <w:szCs w:val="21"/>
          <w:highlight w:val="none"/>
        </w:rPr>
        <w:t>公告</w:t>
      </w:r>
      <w:r>
        <w:rPr>
          <w:rFonts w:hint="eastAsia"/>
          <w:szCs w:val="21"/>
          <w:highlight w:val="none"/>
        </w:rPr>
        <w:t>在城发集团官网</w:t>
      </w:r>
      <w:r>
        <w:rPr>
          <w:szCs w:val="21"/>
          <w:highlight w:val="none"/>
        </w:rPr>
        <w:t>公发布</w:t>
      </w:r>
    </w:p>
    <w:p>
      <w:pPr>
        <w:pStyle w:val="3"/>
        <w:spacing w:after="0" w:line="360" w:lineRule="auto"/>
        <w:ind w:firstLine="422" w:firstLineChars="200"/>
        <w:rPr>
          <w:rFonts w:cs="宋体"/>
          <w:b/>
          <w:bCs/>
          <w:szCs w:val="21"/>
          <w:highlight w:val="none"/>
        </w:rPr>
      </w:pPr>
      <w:r>
        <w:rPr>
          <w:rFonts w:hint="eastAsia" w:cs="宋体"/>
          <w:b/>
          <w:bCs/>
          <w:szCs w:val="21"/>
          <w:highlight w:val="none"/>
        </w:rPr>
        <w:t>七</w:t>
      </w:r>
      <w:r>
        <w:rPr>
          <w:rFonts w:cs="宋体"/>
          <w:b/>
          <w:bCs/>
          <w:szCs w:val="21"/>
          <w:highlight w:val="none"/>
        </w:rPr>
        <w:t xml:space="preserve">、联系方式 </w:t>
      </w:r>
    </w:p>
    <w:p>
      <w:pPr>
        <w:pStyle w:val="3"/>
        <w:spacing w:after="0" w:line="360" w:lineRule="auto"/>
        <w:ind w:firstLine="420" w:firstLineChars="200"/>
        <w:rPr>
          <w:szCs w:val="21"/>
          <w:highlight w:val="none"/>
        </w:rPr>
      </w:pPr>
      <w:r>
        <w:rPr>
          <w:szCs w:val="21"/>
          <w:highlight w:val="none"/>
        </w:rPr>
        <w:t>招标人：</w:t>
      </w:r>
      <w:r>
        <w:rPr>
          <w:rFonts w:hint="eastAsia" w:ascii="宋体" w:hAnsi="宋体" w:cs="宋体"/>
          <w:kern w:val="0"/>
          <w:szCs w:val="21"/>
          <w:highlight w:val="none"/>
        </w:rPr>
        <w:t>黄石市城市发展投资集团有限公司</w:t>
      </w:r>
      <w:r>
        <w:rPr>
          <w:szCs w:val="21"/>
          <w:highlight w:val="none"/>
        </w:rPr>
        <w:t xml:space="preserve"> </w:t>
      </w:r>
    </w:p>
    <w:p>
      <w:pPr>
        <w:pStyle w:val="3"/>
        <w:spacing w:after="0" w:line="360" w:lineRule="auto"/>
        <w:ind w:firstLine="420" w:firstLineChars="200"/>
        <w:rPr>
          <w:rFonts w:hint="eastAsia" w:eastAsiaTheme="minorEastAsia"/>
          <w:szCs w:val="21"/>
          <w:highlight w:val="none"/>
          <w:lang w:eastAsia="zh-CN"/>
        </w:rPr>
      </w:pPr>
      <w:r>
        <w:rPr>
          <w:szCs w:val="21"/>
          <w:highlight w:val="none"/>
        </w:rPr>
        <w:t>联系人：</w:t>
      </w:r>
      <w:r>
        <w:rPr>
          <w:rFonts w:hint="eastAsia"/>
          <w:szCs w:val="21"/>
          <w:highlight w:val="none"/>
          <w:lang w:eastAsia="zh-CN"/>
        </w:rPr>
        <w:t>卫工</w:t>
      </w:r>
    </w:p>
    <w:p>
      <w:pPr>
        <w:pStyle w:val="3"/>
        <w:spacing w:after="0" w:line="360" w:lineRule="auto"/>
        <w:ind w:firstLine="420" w:firstLineChars="200"/>
        <w:rPr>
          <w:rFonts w:ascii="宋体" w:hAnsi="宋体" w:cs="宋体"/>
          <w:szCs w:val="21"/>
          <w:highlight w:val="none"/>
        </w:rPr>
      </w:pPr>
      <w:r>
        <w:rPr>
          <w:szCs w:val="21"/>
          <w:highlight w:val="none"/>
        </w:rPr>
        <w:t>联系电话：</w:t>
      </w:r>
      <w:r>
        <w:rPr>
          <w:rFonts w:hint="eastAsia"/>
          <w:szCs w:val="21"/>
          <w:highlight w:val="none"/>
          <w:lang w:val="en-US" w:eastAsia="zh-CN"/>
        </w:rPr>
        <w:t>0714-6267659</w:t>
      </w:r>
      <w:r>
        <w:rPr>
          <w:rFonts w:hint="eastAsia"/>
          <w:szCs w:val="21"/>
          <w:highlight w:val="none"/>
        </w:rPr>
        <w:t xml:space="preserve">  </w:t>
      </w:r>
    </w:p>
    <w:p>
      <w:pPr>
        <w:pStyle w:val="3"/>
        <w:spacing w:after="0" w:line="360" w:lineRule="auto"/>
        <w:ind w:firstLine="420" w:firstLineChars="200"/>
        <w:rPr>
          <w:szCs w:val="21"/>
          <w:highlight w:val="none"/>
        </w:rPr>
      </w:pPr>
      <w:r>
        <w:rPr>
          <w:szCs w:val="21"/>
          <w:highlight w:val="none"/>
        </w:rPr>
        <w:t>招标代理：</w:t>
      </w:r>
      <w:r>
        <w:rPr>
          <w:rFonts w:hint="eastAsia"/>
          <w:szCs w:val="21"/>
          <w:highlight w:val="none"/>
        </w:rPr>
        <w:t>黄石城发工程咨询</w:t>
      </w:r>
      <w:r>
        <w:rPr>
          <w:szCs w:val="21"/>
          <w:highlight w:val="none"/>
        </w:rPr>
        <w:t xml:space="preserve">有限公司 </w:t>
      </w:r>
    </w:p>
    <w:p>
      <w:pPr>
        <w:pStyle w:val="3"/>
        <w:spacing w:after="0" w:line="360" w:lineRule="auto"/>
        <w:ind w:firstLine="420" w:firstLineChars="200"/>
        <w:rPr>
          <w:szCs w:val="21"/>
          <w:highlight w:val="none"/>
        </w:rPr>
      </w:pPr>
      <w:r>
        <w:rPr>
          <w:szCs w:val="21"/>
          <w:highlight w:val="none"/>
        </w:rPr>
        <w:t>联系人：</w:t>
      </w:r>
      <w:r>
        <w:rPr>
          <w:rFonts w:hint="eastAsia"/>
          <w:szCs w:val="21"/>
          <w:highlight w:val="none"/>
        </w:rPr>
        <w:t>万</w:t>
      </w:r>
      <w:r>
        <w:rPr>
          <w:szCs w:val="21"/>
          <w:highlight w:val="none"/>
        </w:rPr>
        <w:t>工</w:t>
      </w:r>
    </w:p>
    <w:p>
      <w:pPr>
        <w:pStyle w:val="3"/>
        <w:spacing w:after="0" w:line="360" w:lineRule="auto"/>
        <w:ind w:firstLine="420" w:firstLineChars="200"/>
        <w:rPr>
          <w:szCs w:val="21"/>
          <w:highlight w:val="none"/>
        </w:rPr>
      </w:pPr>
      <w:r>
        <w:rPr>
          <w:szCs w:val="21"/>
          <w:highlight w:val="none"/>
        </w:rPr>
        <w:t>联系电话：</w:t>
      </w:r>
      <w:r>
        <w:rPr>
          <w:rFonts w:hint="eastAsia"/>
          <w:szCs w:val="21"/>
          <w:highlight w:val="none"/>
        </w:rPr>
        <w:t>0714-6380886</w:t>
      </w:r>
    </w:p>
    <w:p>
      <w:pPr>
        <w:pStyle w:val="3"/>
        <w:spacing w:after="0" w:line="360" w:lineRule="auto"/>
        <w:ind w:firstLine="420" w:firstLineChars="200"/>
        <w:rPr>
          <w:szCs w:val="21"/>
          <w:highlight w:val="none"/>
        </w:rPr>
      </w:pPr>
      <w:r>
        <w:rPr>
          <w:szCs w:val="21"/>
          <w:highlight w:val="none"/>
        </w:rPr>
        <w:t>地址：黄石市</w:t>
      </w:r>
      <w:r>
        <w:rPr>
          <w:rFonts w:hint="eastAsia"/>
          <w:szCs w:val="21"/>
          <w:highlight w:val="none"/>
        </w:rPr>
        <w:t>下陆区磁湖路198号</w:t>
      </w:r>
      <w:r>
        <w:rPr>
          <w:szCs w:val="21"/>
          <w:highlight w:val="none"/>
        </w:rPr>
        <w:t xml:space="preserve"> </w:t>
      </w:r>
    </w:p>
    <w:p>
      <w:pPr>
        <w:pStyle w:val="3"/>
        <w:spacing w:after="0" w:line="360" w:lineRule="auto"/>
        <w:ind w:firstLine="420" w:firstLineChars="200"/>
        <w:rPr>
          <w:rFonts w:cs="宋体"/>
          <w:szCs w:val="21"/>
          <w:highlight w:val="none"/>
        </w:rPr>
      </w:pPr>
      <w:r>
        <w:rPr>
          <w:szCs w:val="21"/>
          <w:highlight w:val="none"/>
        </w:rPr>
        <w:t>电子邮箱：</w:t>
      </w:r>
      <w:r>
        <w:rPr>
          <w:rFonts w:hint="eastAsia"/>
          <w:szCs w:val="21"/>
          <w:highlight w:val="none"/>
        </w:rPr>
        <w:t>13700253@qq.com</w:t>
      </w:r>
    </w:p>
    <w:p>
      <w:pPr>
        <w:rPr>
          <w:rFonts w:ascii="宋体" w:hAnsi="宋体" w:cs="宋体"/>
          <w:szCs w:val="21"/>
          <w:highlight w:val="none"/>
        </w:rPr>
      </w:pPr>
    </w:p>
    <w:p>
      <w:pPr>
        <w:rPr>
          <w:rFonts w:ascii="宋体" w:hAnsi="宋体" w:cs="宋体"/>
          <w:szCs w:val="21"/>
          <w:highlight w:val="none"/>
        </w:rPr>
      </w:pPr>
    </w:p>
    <w:p>
      <w:pPr>
        <w:pStyle w:val="3"/>
        <w:spacing w:before="170"/>
        <w:ind w:right="109"/>
        <w:jc w:val="right"/>
        <w:rPr>
          <w:szCs w:val="21"/>
          <w:highlight w:val="none"/>
        </w:rPr>
      </w:pPr>
      <w:r>
        <w:rPr>
          <w:rFonts w:hint="eastAsia"/>
          <w:szCs w:val="21"/>
          <w:highlight w:val="none"/>
        </w:rPr>
        <w:t>黄石城发工程咨询</w:t>
      </w:r>
      <w:r>
        <w:rPr>
          <w:szCs w:val="21"/>
          <w:highlight w:val="none"/>
        </w:rPr>
        <w:t>有限公司</w:t>
      </w:r>
    </w:p>
    <w:p>
      <w:pPr>
        <w:pStyle w:val="3"/>
        <w:wordWrap w:val="0"/>
        <w:spacing w:before="146"/>
        <w:ind w:right="109"/>
        <w:jc w:val="right"/>
        <w:rPr>
          <w:szCs w:val="21"/>
          <w:highlight w:val="none"/>
        </w:rPr>
      </w:pPr>
      <w:r>
        <w:rPr>
          <w:szCs w:val="21"/>
          <w:highlight w:val="none"/>
        </w:rPr>
        <w:t>202</w:t>
      </w:r>
      <w:r>
        <w:rPr>
          <w:rFonts w:hint="eastAsia"/>
          <w:szCs w:val="21"/>
          <w:highlight w:val="none"/>
        </w:rPr>
        <w:t>2</w:t>
      </w:r>
      <w:r>
        <w:rPr>
          <w:szCs w:val="21"/>
          <w:highlight w:val="none"/>
        </w:rPr>
        <w:t>年</w:t>
      </w:r>
      <w:r>
        <w:rPr>
          <w:rFonts w:hint="eastAsia"/>
          <w:szCs w:val="21"/>
          <w:highlight w:val="none"/>
          <w:lang w:val="en-US" w:eastAsia="zh-CN"/>
        </w:rPr>
        <w:t>9</w:t>
      </w:r>
      <w:r>
        <w:rPr>
          <w:szCs w:val="21"/>
          <w:highlight w:val="none"/>
        </w:rPr>
        <w:t>月</w:t>
      </w:r>
      <w:r>
        <w:rPr>
          <w:rFonts w:hint="eastAsia"/>
          <w:szCs w:val="21"/>
          <w:highlight w:val="none"/>
          <w:lang w:val="en-US" w:eastAsia="zh-CN"/>
        </w:rPr>
        <w:t>9</w:t>
      </w:r>
      <w:r>
        <w:rPr>
          <w:szCs w:val="21"/>
          <w:highlight w:val="none"/>
        </w:rPr>
        <w:t>日</w:t>
      </w:r>
    </w:p>
    <w:p>
      <w:pPr>
        <w:jc w:val="right"/>
        <w:rPr>
          <w:szCs w:val="21"/>
          <w:highlight w:val="none"/>
        </w:rPr>
      </w:pPr>
    </w:p>
    <w:p>
      <w:pPr>
        <w:jc w:val="left"/>
        <w:rPr>
          <w:szCs w:val="21"/>
          <w:highlight w:val="none"/>
        </w:rPr>
        <w:sectPr>
          <w:headerReference r:id="rId3" w:type="default"/>
          <w:pgSz w:w="11910" w:h="16840"/>
          <w:pgMar w:top="1480" w:right="1420" w:bottom="1420" w:left="1360" w:header="1274" w:footer="1232" w:gutter="0"/>
          <w:cols w:space="720" w:num="1"/>
        </w:sectPr>
      </w:pPr>
      <w:r>
        <w:rPr>
          <w:rFonts w:hint="eastAsia"/>
          <w:szCs w:val="21"/>
          <w:highlight w:val="none"/>
        </w:rPr>
        <w:t>附评分办法及报名表</w:t>
      </w:r>
    </w:p>
    <w:p>
      <w:pPr>
        <w:spacing w:line="360" w:lineRule="auto"/>
        <w:jc w:val="left"/>
        <w:rPr>
          <w:rFonts w:asciiTheme="minorEastAsia" w:hAnsiTheme="minorEastAsia"/>
          <w:b/>
          <w:szCs w:val="21"/>
          <w:highlight w:val="none"/>
        </w:rPr>
      </w:pPr>
      <w:r>
        <w:rPr>
          <w:rFonts w:hint="eastAsia" w:asciiTheme="minorEastAsia" w:hAnsiTheme="minorEastAsia"/>
          <w:b/>
          <w:szCs w:val="21"/>
          <w:highlight w:val="none"/>
        </w:rPr>
        <w:t>遴选方法及评分标准：</w:t>
      </w:r>
    </w:p>
    <w:p>
      <w:pPr>
        <w:spacing w:line="360" w:lineRule="auto"/>
        <w:ind w:firstLine="420" w:firstLineChars="200"/>
        <w:jc w:val="left"/>
        <w:rPr>
          <w:rFonts w:asciiTheme="minorEastAsia" w:hAnsiTheme="minorEastAsia"/>
          <w:szCs w:val="21"/>
          <w:highlight w:val="none"/>
        </w:rPr>
      </w:pPr>
      <w:r>
        <w:rPr>
          <w:rFonts w:hint="eastAsia" w:asciiTheme="minorEastAsia" w:hAnsiTheme="minorEastAsia"/>
          <w:szCs w:val="21"/>
          <w:highlight w:val="none"/>
        </w:rPr>
        <w:t>一、本次公开遴选采用综合评分法</w:t>
      </w:r>
    </w:p>
    <w:tbl>
      <w:tblPr>
        <w:tblStyle w:val="16"/>
        <w:tblW w:w="9225" w:type="dxa"/>
        <w:jc w:val="center"/>
        <w:tblLayout w:type="fixed"/>
        <w:tblCellMar>
          <w:top w:w="0" w:type="dxa"/>
          <w:left w:w="0" w:type="dxa"/>
          <w:bottom w:w="0" w:type="dxa"/>
          <w:right w:w="0" w:type="dxa"/>
        </w:tblCellMar>
      </w:tblPr>
      <w:tblGrid>
        <w:gridCol w:w="577"/>
        <w:gridCol w:w="2010"/>
        <w:gridCol w:w="6638"/>
      </w:tblGrid>
      <w:tr>
        <w:tblPrEx>
          <w:tblCellMar>
            <w:top w:w="0" w:type="dxa"/>
            <w:left w:w="0" w:type="dxa"/>
            <w:bottom w:w="0" w:type="dxa"/>
            <w:right w:w="0" w:type="dxa"/>
          </w:tblCellMar>
        </w:tblPrEx>
        <w:trPr>
          <w:trHeight w:val="510" w:hRule="atLeast"/>
          <w:jc w:val="center"/>
        </w:trPr>
        <w:tc>
          <w:tcPr>
            <w:tcW w:w="57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highlight w:val="none"/>
              </w:rPr>
            </w:pPr>
            <w:r>
              <w:rPr>
                <w:rFonts w:hint="eastAsia" w:asciiTheme="minorEastAsia" w:hAnsiTheme="minorEastAsia"/>
                <w:b/>
                <w:szCs w:val="21"/>
                <w:highlight w:val="none"/>
              </w:rPr>
              <w:t>序号</w:t>
            </w:r>
          </w:p>
        </w:tc>
        <w:tc>
          <w:tcPr>
            <w:tcW w:w="20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highlight w:val="none"/>
              </w:rPr>
            </w:pPr>
            <w:r>
              <w:rPr>
                <w:rFonts w:hint="eastAsia" w:asciiTheme="minorEastAsia" w:hAnsiTheme="minorEastAsia"/>
                <w:b/>
                <w:szCs w:val="21"/>
                <w:highlight w:val="none"/>
              </w:rPr>
              <w:t>评分因素</w:t>
            </w:r>
          </w:p>
        </w:tc>
        <w:tc>
          <w:tcPr>
            <w:tcW w:w="66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highlight w:val="none"/>
              </w:rPr>
            </w:pPr>
            <w:r>
              <w:rPr>
                <w:rFonts w:hint="eastAsia" w:asciiTheme="minorEastAsia" w:hAnsiTheme="minorEastAsia"/>
                <w:b/>
                <w:szCs w:val="21"/>
                <w:highlight w:val="none"/>
              </w:rPr>
              <w:t>评分标准</w:t>
            </w:r>
          </w:p>
        </w:tc>
      </w:tr>
      <w:tr>
        <w:tblPrEx>
          <w:tblCellMar>
            <w:top w:w="0" w:type="dxa"/>
            <w:left w:w="0" w:type="dxa"/>
            <w:bottom w:w="0" w:type="dxa"/>
            <w:right w:w="0" w:type="dxa"/>
          </w:tblCellMar>
        </w:tblPrEx>
        <w:trPr>
          <w:trHeight w:val="557" w:hRule="atLeast"/>
          <w:jc w:val="center"/>
        </w:trPr>
        <w:tc>
          <w:tcPr>
            <w:tcW w:w="57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highlight w:val="none"/>
              </w:rPr>
            </w:pPr>
            <w:r>
              <w:rPr>
                <w:rFonts w:hint="eastAsia" w:asciiTheme="minorEastAsia" w:hAnsiTheme="minorEastAsia"/>
                <w:b/>
                <w:szCs w:val="21"/>
                <w:highlight w:val="none"/>
              </w:rPr>
              <w:t>1</w:t>
            </w:r>
          </w:p>
        </w:tc>
        <w:tc>
          <w:tcPr>
            <w:tcW w:w="8648"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highlight w:val="none"/>
              </w:rPr>
            </w:pPr>
            <w:r>
              <w:rPr>
                <w:rFonts w:hint="eastAsia" w:asciiTheme="minorEastAsia" w:hAnsiTheme="minorEastAsia"/>
                <w:b/>
                <w:szCs w:val="21"/>
                <w:highlight w:val="none"/>
              </w:rPr>
              <w:t>价格部分</w:t>
            </w:r>
            <w:r>
              <w:rPr>
                <w:rFonts w:hint="eastAsia" w:asciiTheme="minorEastAsia" w:hAnsiTheme="minorEastAsia"/>
                <w:b/>
                <w:szCs w:val="21"/>
                <w:highlight w:val="none"/>
                <w:lang w:val="en-US" w:eastAsia="zh-CN"/>
              </w:rPr>
              <w:t>60</w:t>
            </w:r>
            <w:r>
              <w:rPr>
                <w:rFonts w:hint="eastAsia" w:asciiTheme="minorEastAsia" w:hAnsiTheme="minorEastAsia"/>
                <w:b/>
                <w:szCs w:val="21"/>
                <w:highlight w:val="none"/>
              </w:rPr>
              <w:t>分</w:t>
            </w:r>
          </w:p>
        </w:tc>
      </w:tr>
      <w:tr>
        <w:tblPrEx>
          <w:tblCellMar>
            <w:top w:w="0" w:type="dxa"/>
            <w:left w:w="0" w:type="dxa"/>
            <w:bottom w:w="0" w:type="dxa"/>
            <w:right w:w="0" w:type="dxa"/>
          </w:tblCellMar>
        </w:tblPrEx>
        <w:trPr>
          <w:trHeight w:val="510" w:hRule="atLeast"/>
          <w:jc w:val="center"/>
        </w:trPr>
        <w:tc>
          <w:tcPr>
            <w:tcW w:w="57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highlight w:val="none"/>
              </w:rPr>
            </w:pPr>
            <w:r>
              <w:rPr>
                <w:rFonts w:hint="eastAsia" w:asciiTheme="minorEastAsia" w:hAnsiTheme="minorEastAsia"/>
                <w:szCs w:val="21"/>
                <w:highlight w:val="none"/>
              </w:rPr>
              <w:t>1.1</w:t>
            </w:r>
          </w:p>
        </w:tc>
        <w:tc>
          <w:tcPr>
            <w:tcW w:w="20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Theme="minorEastAsia" w:hAnsiTheme="minorEastAsia"/>
                <w:szCs w:val="21"/>
                <w:highlight w:val="none"/>
              </w:rPr>
            </w:pPr>
            <w:r>
              <w:rPr>
                <w:rFonts w:hint="eastAsia" w:asciiTheme="minorEastAsia" w:hAnsiTheme="minorEastAsia"/>
                <w:szCs w:val="21"/>
                <w:highlight w:val="none"/>
              </w:rPr>
              <w:t>报价得分</w:t>
            </w:r>
            <w:r>
              <w:rPr>
                <w:rFonts w:hint="eastAsia" w:asciiTheme="minorEastAsia" w:hAnsiTheme="minorEastAsia"/>
                <w:szCs w:val="21"/>
                <w:highlight w:val="none"/>
                <w:lang w:val="en-US" w:eastAsia="zh-CN"/>
              </w:rPr>
              <w:t>60</w:t>
            </w:r>
            <w:r>
              <w:rPr>
                <w:rFonts w:hint="eastAsia" w:asciiTheme="minorEastAsia" w:hAnsiTheme="minorEastAsia"/>
                <w:szCs w:val="21"/>
                <w:highlight w:val="none"/>
              </w:rPr>
              <w:t>分</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35"/>
              <w:jc w:val="both"/>
              <w:rPr>
                <w:rFonts w:hint="eastAsia" w:asciiTheme="minorEastAsia" w:hAnsiTheme="minorEastAsia" w:eastAsiaTheme="minorEastAsia"/>
                <w:sz w:val="21"/>
                <w:szCs w:val="21"/>
                <w:highlight w:val="none"/>
                <w:lang w:val="zh-CN" w:eastAsia="zh-CN"/>
              </w:rPr>
            </w:pPr>
            <w:r>
              <w:rPr>
                <w:rFonts w:hint="eastAsia" w:asciiTheme="minorEastAsia" w:hAnsiTheme="minorEastAsia" w:eastAsiaTheme="minorEastAsia"/>
                <w:sz w:val="21"/>
                <w:szCs w:val="21"/>
                <w:highlight w:val="none"/>
                <w:lang w:val="zh-CN" w:eastAsia="zh-CN"/>
              </w:rPr>
              <w:t>1、满足招标文件规定且在招标控制价以内的有效报价得基本分</w:t>
            </w:r>
            <w:r>
              <w:rPr>
                <w:rFonts w:hint="eastAsia" w:asciiTheme="minorEastAsia" w:hAnsiTheme="minorEastAsia" w:eastAsiaTheme="minorEastAsia"/>
                <w:sz w:val="21"/>
                <w:szCs w:val="21"/>
                <w:highlight w:val="none"/>
                <w:lang w:val="en-US" w:eastAsia="zh-CN"/>
              </w:rPr>
              <w:t>20</w:t>
            </w:r>
            <w:r>
              <w:rPr>
                <w:rFonts w:hint="eastAsia" w:asciiTheme="minorEastAsia" w:hAnsiTheme="minorEastAsia" w:eastAsiaTheme="minorEastAsia"/>
                <w:sz w:val="21"/>
                <w:szCs w:val="21"/>
                <w:highlight w:val="none"/>
                <w:lang w:val="zh-CN" w:eastAsia="zh-CN"/>
              </w:rPr>
              <w:t>分</w:t>
            </w:r>
          </w:p>
          <w:p>
            <w:pPr>
              <w:pStyle w:val="35"/>
              <w:jc w:val="both"/>
              <w:rPr>
                <w:rFonts w:hint="eastAsia" w:asciiTheme="minorEastAsia" w:hAnsiTheme="minorEastAsia" w:eastAsiaTheme="minorEastAsia"/>
                <w:sz w:val="21"/>
                <w:szCs w:val="21"/>
                <w:highlight w:val="none"/>
                <w:lang w:val="zh-CN" w:eastAsia="zh-CN"/>
              </w:rPr>
            </w:pPr>
            <w:r>
              <w:rPr>
                <w:rFonts w:hint="eastAsia" w:asciiTheme="minorEastAsia" w:hAnsiTheme="minorEastAsia" w:eastAsiaTheme="minorEastAsia"/>
                <w:sz w:val="21"/>
                <w:szCs w:val="21"/>
                <w:highlight w:val="none"/>
                <w:lang w:val="zh-CN" w:eastAsia="zh-CN"/>
              </w:rPr>
              <w:t>2、竞争分</w:t>
            </w:r>
            <w:r>
              <w:rPr>
                <w:rFonts w:hint="eastAsia" w:asciiTheme="minorEastAsia" w:hAnsiTheme="minorEastAsia" w:eastAsiaTheme="minorEastAsia"/>
                <w:sz w:val="21"/>
                <w:szCs w:val="21"/>
                <w:highlight w:val="none"/>
                <w:lang w:val="en-US" w:eastAsia="zh-CN"/>
              </w:rPr>
              <w:t>40</w:t>
            </w:r>
            <w:r>
              <w:rPr>
                <w:rFonts w:hint="eastAsia" w:asciiTheme="minorEastAsia" w:hAnsiTheme="minorEastAsia" w:eastAsiaTheme="minorEastAsia"/>
                <w:sz w:val="21"/>
                <w:szCs w:val="21"/>
                <w:highlight w:val="none"/>
                <w:lang w:val="zh-CN" w:eastAsia="zh-CN"/>
              </w:rPr>
              <w:t>分按以下标准评审：</w:t>
            </w:r>
          </w:p>
          <w:p>
            <w:pPr>
              <w:pStyle w:val="7"/>
              <w:spacing w:line="276" w:lineRule="auto"/>
              <w:ind w:firstLine="420"/>
              <w:rPr>
                <w:rFonts w:asciiTheme="minorEastAsia" w:hAnsiTheme="minorEastAsia"/>
                <w:szCs w:val="21"/>
                <w:highlight w:val="none"/>
              </w:rPr>
            </w:pPr>
            <w:r>
              <w:rPr>
                <w:rFonts w:hint="eastAsia" w:asciiTheme="minorEastAsia" w:hAnsiTheme="minorEastAsia" w:eastAsiaTheme="minorEastAsia"/>
                <w:sz w:val="21"/>
                <w:szCs w:val="21"/>
                <w:highlight w:val="none"/>
                <w:lang w:val="zh-CN" w:eastAsia="zh-CN"/>
              </w:rPr>
              <w:t>采用低价优先法计算，即满足招标文件要求且报价最低的供应商的价格为基准价，其价格分为满分。其他供应商的价格分计算公式：</w:t>
            </w:r>
            <w:r>
              <w:rPr>
                <w:rFonts w:hint="eastAsia" w:ascii="宋体" w:hAnsi="宋体"/>
                <w:szCs w:val="21"/>
              </w:rPr>
              <w:t>F＝</w:t>
            </w:r>
            <w:r>
              <w:rPr>
                <w:rFonts w:hint="eastAsia" w:ascii="宋体" w:hAnsi="宋体"/>
                <w:szCs w:val="21"/>
                <w:lang w:val="en-US" w:eastAsia="zh-CN"/>
              </w:rPr>
              <w:t>40</w:t>
            </w:r>
            <w:r>
              <w:rPr>
                <w:rFonts w:hint="eastAsia" w:ascii="宋体" w:hAnsi="宋体"/>
                <w:szCs w:val="21"/>
              </w:rPr>
              <w:t>-（投标人评标价-评标基准价）÷评标基准价×</w:t>
            </w:r>
            <w:r>
              <w:rPr>
                <w:rFonts w:hint="eastAsia" w:ascii="宋体" w:hAnsi="宋体"/>
                <w:szCs w:val="21"/>
                <w:lang w:val="en-US" w:eastAsia="zh-CN"/>
              </w:rPr>
              <w:t>100</w:t>
            </w:r>
            <w:r>
              <w:rPr>
                <w:rFonts w:hint="eastAsia" w:ascii="宋体" w:hAnsi="宋体"/>
                <w:szCs w:val="21"/>
              </w:rPr>
              <w:t>×0.5</w:t>
            </w:r>
            <w:r>
              <w:rPr>
                <w:rFonts w:hint="eastAsia" w:ascii="宋体" w:hAnsi="宋体"/>
                <w:szCs w:val="21"/>
                <w:lang w:eastAsia="zh-CN"/>
              </w:rPr>
              <w:t>。</w:t>
            </w:r>
          </w:p>
        </w:tc>
      </w:tr>
      <w:tr>
        <w:tblPrEx>
          <w:tblCellMar>
            <w:top w:w="0" w:type="dxa"/>
            <w:left w:w="0" w:type="dxa"/>
            <w:bottom w:w="0" w:type="dxa"/>
            <w:right w:w="0" w:type="dxa"/>
          </w:tblCellMar>
        </w:tblPrEx>
        <w:trPr>
          <w:trHeight w:val="380" w:hRule="atLeast"/>
          <w:jc w:val="center"/>
        </w:trPr>
        <w:tc>
          <w:tcPr>
            <w:tcW w:w="577"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highlight w:val="none"/>
              </w:rPr>
            </w:pPr>
            <w:r>
              <w:rPr>
                <w:rFonts w:hint="eastAsia" w:asciiTheme="minorEastAsia" w:hAnsiTheme="minorEastAsia"/>
                <w:b/>
                <w:szCs w:val="21"/>
                <w:highlight w:val="none"/>
              </w:rPr>
              <w:t>2</w:t>
            </w:r>
          </w:p>
        </w:tc>
        <w:tc>
          <w:tcPr>
            <w:tcW w:w="8648"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highlight w:val="none"/>
              </w:rPr>
            </w:pPr>
            <w:r>
              <w:rPr>
                <w:rFonts w:hint="eastAsia" w:asciiTheme="minorEastAsia" w:hAnsiTheme="minorEastAsia"/>
                <w:b/>
                <w:szCs w:val="21"/>
                <w:highlight w:val="none"/>
              </w:rPr>
              <w:t>商务部分</w:t>
            </w:r>
            <w:r>
              <w:rPr>
                <w:rFonts w:hint="eastAsia" w:asciiTheme="minorEastAsia" w:hAnsiTheme="minorEastAsia"/>
                <w:b/>
                <w:szCs w:val="21"/>
                <w:highlight w:val="none"/>
                <w:lang w:val="en-US" w:eastAsia="zh-CN"/>
              </w:rPr>
              <w:t>25</w:t>
            </w:r>
            <w:r>
              <w:rPr>
                <w:rFonts w:hint="eastAsia" w:asciiTheme="minorEastAsia" w:hAnsiTheme="minorEastAsia"/>
                <w:b/>
                <w:szCs w:val="21"/>
                <w:highlight w:val="none"/>
              </w:rPr>
              <w:t>分</w:t>
            </w:r>
          </w:p>
        </w:tc>
      </w:tr>
      <w:tr>
        <w:tblPrEx>
          <w:tblCellMar>
            <w:top w:w="0" w:type="dxa"/>
            <w:left w:w="0" w:type="dxa"/>
            <w:bottom w:w="0" w:type="dxa"/>
            <w:right w:w="0" w:type="dxa"/>
          </w:tblCellMar>
        </w:tblPrEx>
        <w:trPr>
          <w:trHeight w:val="410" w:hRule="atLeast"/>
          <w:jc w:val="center"/>
        </w:trPr>
        <w:tc>
          <w:tcPr>
            <w:tcW w:w="577"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highlight w:val="none"/>
              </w:rPr>
            </w:pPr>
          </w:p>
        </w:tc>
        <w:tc>
          <w:tcPr>
            <w:tcW w:w="20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highlight w:val="none"/>
              </w:rPr>
            </w:pPr>
            <w:r>
              <w:rPr>
                <w:rFonts w:hint="eastAsia" w:asciiTheme="minorEastAsia" w:hAnsiTheme="minorEastAsia"/>
                <w:b/>
                <w:szCs w:val="21"/>
                <w:highlight w:val="none"/>
              </w:rPr>
              <w:t>评分因素</w:t>
            </w:r>
          </w:p>
        </w:tc>
        <w:tc>
          <w:tcPr>
            <w:tcW w:w="66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highlight w:val="none"/>
              </w:rPr>
            </w:pPr>
            <w:r>
              <w:rPr>
                <w:rFonts w:hint="eastAsia" w:asciiTheme="minorEastAsia" w:hAnsiTheme="minorEastAsia"/>
                <w:b/>
                <w:szCs w:val="21"/>
                <w:highlight w:val="none"/>
              </w:rPr>
              <w:t>评分标准</w:t>
            </w:r>
          </w:p>
        </w:tc>
      </w:tr>
      <w:tr>
        <w:tblPrEx>
          <w:tblCellMar>
            <w:top w:w="0" w:type="dxa"/>
            <w:left w:w="0" w:type="dxa"/>
            <w:bottom w:w="0" w:type="dxa"/>
            <w:right w:w="0" w:type="dxa"/>
          </w:tblCellMar>
        </w:tblPrEx>
        <w:trPr>
          <w:trHeight w:val="1233" w:hRule="atLeast"/>
          <w:jc w:val="center"/>
        </w:trPr>
        <w:tc>
          <w:tcPr>
            <w:tcW w:w="57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highlight w:val="none"/>
              </w:rPr>
            </w:pPr>
            <w:r>
              <w:rPr>
                <w:rFonts w:hint="eastAsia" w:asciiTheme="minorEastAsia" w:hAnsiTheme="minorEastAsia"/>
                <w:szCs w:val="21"/>
                <w:highlight w:val="none"/>
              </w:rPr>
              <w:t>2.1</w:t>
            </w:r>
          </w:p>
        </w:tc>
        <w:tc>
          <w:tcPr>
            <w:tcW w:w="20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hint="default" w:asciiTheme="minorEastAsia" w:hAnsiTheme="minorEastAsia" w:eastAsiaTheme="minorEastAsia"/>
                <w:szCs w:val="21"/>
                <w:highlight w:val="none"/>
                <w:lang w:val="en-US" w:eastAsia="zh-CN"/>
              </w:rPr>
            </w:pPr>
            <w:r>
              <w:rPr>
                <w:rFonts w:hint="eastAsia" w:asciiTheme="minorEastAsia" w:hAnsiTheme="minorEastAsia"/>
                <w:szCs w:val="21"/>
                <w:highlight w:val="none"/>
              </w:rPr>
              <w:t>类似业绩</w:t>
            </w:r>
            <w:r>
              <w:rPr>
                <w:rFonts w:hint="eastAsia" w:asciiTheme="minorEastAsia" w:hAnsiTheme="minorEastAsia"/>
                <w:szCs w:val="21"/>
                <w:highlight w:val="none"/>
                <w:lang w:val="en-US" w:eastAsia="zh-CN"/>
              </w:rPr>
              <w:t>15</w:t>
            </w:r>
          </w:p>
        </w:tc>
        <w:tc>
          <w:tcPr>
            <w:tcW w:w="66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jc w:val="both"/>
              <w:rPr>
                <w:rFonts w:asciiTheme="minorEastAsia" w:hAnsiTheme="minorEastAsia" w:eastAsiaTheme="minorEastAsia"/>
                <w:sz w:val="21"/>
                <w:szCs w:val="21"/>
                <w:highlight w:val="none"/>
              </w:rPr>
            </w:pPr>
            <w:r>
              <w:rPr>
                <w:rFonts w:hint="eastAsia" w:asciiTheme="minorEastAsia" w:hAnsiTheme="minorEastAsia" w:eastAsiaTheme="minorEastAsia"/>
                <w:sz w:val="21"/>
                <w:szCs w:val="21"/>
                <w:highlight w:val="none"/>
              </w:rPr>
              <w:t>近三年</w:t>
            </w:r>
            <w:r>
              <w:rPr>
                <w:rFonts w:hint="eastAsia" w:asciiTheme="minorEastAsia" w:hAnsiTheme="minorEastAsia" w:eastAsiaTheme="minorEastAsia"/>
                <w:sz w:val="21"/>
                <w:szCs w:val="21"/>
                <w:highlight w:val="none"/>
                <w:lang w:eastAsia="zh-CN"/>
              </w:rPr>
              <w:t>（</w:t>
            </w:r>
            <w:r>
              <w:rPr>
                <w:rFonts w:hint="eastAsia" w:asciiTheme="minorEastAsia" w:hAnsiTheme="minorEastAsia" w:eastAsiaTheme="minorEastAsia"/>
                <w:sz w:val="21"/>
                <w:szCs w:val="21"/>
                <w:highlight w:val="none"/>
                <w:lang w:val="en-US" w:eastAsia="zh-CN"/>
              </w:rPr>
              <w:t>2019年1月</w:t>
            </w:r>
            <w:r>
              <w:rPr>
                <w:rFonts w:hint="eastAsia" w:asciiTheme="minorEastAsia" w:hAnsiTheme="minorEastAsia" w:eastAsiaTheme="minorEastAsia"/>
                <w:sz w:val="21"/>
                <w:szCs w:val="21"/>
                <w:highlight w:val="none"/>
                <w:lang w:eastAsia="zh-CN"/>
              </w:rPr>
              <w:t>）</w:t>
            </w:r>
            <w:r>
              <w:rPr>
                <w:rFonts w:hint="eastAsia" w:asciiTheme="minorEastAsia" w:hAnsiTheme="minorEastAsia" w:eastAsiaTheme="minorEastAsia"/>
                <w:sz w:val="21"/>
                <w:szCs w:val="21"/>
                <w:highlight w:val="none"/>
              </w:rPr>
              <w:t>完成过</w:t>
            </w:r>
            <w:r>
              <w:rPr>
                <w:rFonts w:hint="eastAsia" w:asciiTheme="minorEastAsia" w:hAnsiTheme="minorEastAsia" w:eastAsiaTheme="minorEastAsia"/>
                <w:sz w:val="21"/>
                <w:szCs w:val="21"/>
                <w:highlight w:val="none"/>
                <w:lang w:eastAsia="zh-CN"/>
              </w:rPr>
              <w:t>合同金额在</w:t>
            </w:r>
            <w:r>
              <w:rPr>
                <w:rFonts w:hint="eastAsia" w:asciiTheme="minorEastAsia" w:hAnsiTheme="minorEastAsia" w:eastAsiaTheme="minorEastAsia"/>
                <w:sz w:val="21"/>
                <w:szCs w:val="21"/>
                <w:highlight w:val="none"/>
                <w:lang w:val="en-US" w:eastAsia="zh-CN"/>
              </w:rPr>
              <w:t>50万元及以上</w:t>
            </w:r>
            <w:r>
              <w:rPr>
                <w:rFonts w:hint="eastAsia" w:asciiTheme="minorEastAsia" w:hAnsiTheme="minorEastAsia" w:eastAsiaTheme="minorEastAsia"/>
                <w:sz w:val="21"/>
                <w:szCs w:val="21"/>
                <w:highlight w:val="none"/>
              </w:rPr>
              <w:t>的</w:t>
            </w:r>
            <w:r>
              <w:rPr>
                <w:rFonts w:hint="eastAsia" w:asciiTheme="minorEastAsia" w:hAnsiTheme="minorEastAsia" w:eastAsiaTheme="minorEastAsia"/>
                <w:sz w:val="21"/>
                <w:szCs w:val="21"/>
                <w:highlight w:val="none"/>
                <w:lang w:eastAsia="zh-CN"/>
              </w:rPr>
              <w:t>道路标识标线</w:t>
            </w:r>
            <w:r>
              <w:rPr>
                <w:rFonts w:hint="eastAsia" w:asciiTheme="minorEastAsia" w:hAnsiTheme="minorEastAsia" w:eastAsiaTheme="minorEastAsia"/>
                <w:sz w:val="21"/>
                <w:szCs w:val="21"/>
                <w:highlight w:val="none"/>
              </w:rPr>
              <w:t>业绩，有一项得</w:t>
            </w:r>
            <w:r>
              <w:rPr>
                <w:rFonts w:hint="eastAsia" w:asciiTheme="minorEastAsia" w:hAnsiTheme="minorEastAsia" w:eastAsiaTheme="minorEastAsia"/>
                <w:sz w:val="21"/>
                <w:szCs w:val="21"/>
                <w:highlight w:val="none"/>
                <w:lang w:val="en-US" w:eastAsia="zh-CN"/>
              </w:rPr>
              <w:t>3</w:t>
            </w:r>
            <w:r>
              <w:rPr>
                <w:rFonts w:hint="eastAsia" w:asciiTheme="minorEastAsia" w:hAnsiTheme="minorEastAsia" w:eastAsiaTheme="minorEastAsia"/>
                <w:sz w:val="21"/>
                <w:szCs w:val="21"/>
                <w:highlight w:val="none"/>
              </w:rPr>
              <w:t>分，最多</w:t>
            </w:r>
            <w:r>
              <w:rPr>
                <w:rFonts w:hint="eastAsia" w:asciiTheme="minorEastAsia" w:hAnsiTheme="minorEastAsia" w:eastAsiaTheme="minorEastAsia"/>
                <w:sz w:val="21"/>
                <w:szCs w:val="21"/>
                <w:highlight w:val="none"/>
                <w:lang w:val="en-US" w:eastAsia="zh-CN"/>
              </w:rPr>
              <w:t>15</w:t>
            </w:r>
            <w:r>
              <w:rPr>
                <w:rFonts w:hint="eastAsia" w:asciiTheme="minorEastAsia" w:hAnsiTheme="minorEastAsia" w:eastAsiaTheme="minorEastAsia"/>
                <w:sz w:val="21"/>
                <w:szCs w:val="21"/>
                <w:highlight w:val="none"/>
              </w:rPr>
              <w:t>分。</w:t>
            </w:r>
          </w:p>
          <w:p>
            <w:pPr>
              <w:rPr>
                <w:szCs w:val="21"/>
                <w:highlight w:val="none"/>
              </w:rPr>
            </w:pPr>
            <w:r>
              <w:rPr>
                <w:rFonts w:hint="eastAsia"/>
                <w:szCs w:val="21"/>
                <w:highlight w:val="none"/>
              </w:rPr>
              <w:t>（提供施工合同或中标通知书扫描件）</w:t>
            </w:r>
          </w:p>
        </w:tc>
      </w:tr>
      <w:tr>
        <w:tblPrEx>
          <w:tblCellMar>
            <w:top w:w="0" w:type="dxa"/>
            <w:left w:w="0" w:type="dxa"/>
            <w:bottom w:w="0" w:type="dxa"/>
            <w:right w:w="0" w:type="dxa"/>
          </w:tblCellMar>
        </w:tblPrEx>
        <w:trPr>
          <w:trHeight w:val="1968" w:hRule="atLeast"/>
          <w:jc w:val="center"/>
        </w:trPr>
        <w:tc>
          <w:tcPr>
            <w:tcW w:w="57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highlight w:val="none"/>
              </w:rPr>
            </w:pPr>
            <w:r>
              <w:rPr>
                <w:rFonts w:hint="eastAsia" w:asciiTheme="minorEastAsia" w:hAnsiTheme="minorEastAsia"/>
                <w:szCs w:val="21"/>
                <w:highlight w:val="none"/>
              </w:rPr>
              <w:t>2.2</w:t>
            </w:r>
          </w:p>
        </w:tc>
        <w:tc>
          <w:tcPr>
            <w:tcW w:w="20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highlight w:val="none"/>
              </w:rPr>
            </w:pPr>
            <w:r>
              <w:rPr>
                <w:rFonts w:hint="eastAsia" w:asciiTheme="minorEastAsia" w:hAnsiTheme="minorEastAsia"/>
                <w:szCs w:val="21"/>
                <w:highlight w:val="none"/>
              </w:rPr>
              <w:t>项目负责人</w:t>
            </w:r>
            <w:r>
              <w:rPr>
                <w:rFonts w:hint="eastAsia" w:asciiTheme="minorEastAsia" w:hAnsiTheme="minorEastAsia"/>
                <w:szCs w:val="21"/>
                <w:highlight w:val="none"/>
                <w:lang w:val="en-US" w:eastAsia="zh-CN"/>
              </w:rPr>
              <w:t>10</w:t>
            </w:r>
            <w:r>
              <w:rPr>
                <w:rFonts w:hint="eastAsia" w:asciiTheme="minorEastAsia" w:hAnsiTheme="minorEastAsia"/>
                <w:szCs w:val="21"/>
                <w:highlight w:val="none"/>
              </w:rPr>
              <w:t>分</w:t>
            </w:r>
          </w:p>
        </w:tc>
        <w:tc>
          <w:tcPr>
            <w:tcW w:w="66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Theme="minorEastAsia" w:hAnsiTheme="minorEastAsia"/>
                <w:szCs w:val="21"/>
                <w:highlight w:val="none"/>
              </w:rPr>
            </w:pPr>
            <w:r>
              <w:rPr>
                <w:rFonts w:hint="eastAsia" w:asciiTheme="minorEastAsia" w:hAnsiTheme="minorEastAsia"/>
                <w:szCs w:val="21"/>
                <w:highlight w:val="none"/>
              </w:rPr>
              <w:t>（1）项目负责人具备具备</w:t>
            </w:r>
            <w:r>
              <w:rPr>
                <w:rFonts w:hint="eastAsia" w:ascii="宋体" w:hAnsi="宋体" w:eastAsia="宋体" w:cs="宋体"/>
                <w:highlight w:val="none"/>
                <w:lang w:eastAsia="zh-CN"/>
              </w:rPr>
              <w:t>公路工程</w:t>
            </w:r>
            <w:r>
              <w:rPr>
                <w:rFonts w:hint="eastAsia" w:asciiTheme="minorEastAsia" w:hAnsiTheme="minorEastAsia"/>
                <w:szCs w:val="21"/>
                <w:highlight w:val="none"/>
              </w:rPr>
              <w:t>中级</w:t>
            </w:r>
            <w:r>
              <w:rPr>
                <w:rFonts w:hint="eastAsia" w:asciiTheme="minorEastAsia" w:hAnsiTheme="minorEastAsia"/>
                <w:szCs w:val="21"/>
                <w:highlight w:val="none"/>
                <w:lang w:eastAsia="zh-CN"/>
              </w:rPr>
              <w:t>及以上</w:t>
            </w:r>
            <w:r>
              <w:rPr>
                <w:rFonts w:hint="eastAsia" w:asciiTheme="minorEastAsia" w:hAnsiTheme="minorEastAsia"/>
                <w:szCs w:val="21"/>
                <w:highlight w:val="none"/>
              </w:rPr>
              <w:t>职称的得</w:t>
            </w:r>
            <w:r>
              <w:rPr>
                <w:rFonts w:hint="eastAsia" w:asciiTheme="minorEastAsia" w:hAnsiTheme="minorEastAsia"/>
                <w:szCs w:val="21"/>
                <w:highlight w:val="none"/>
                <w:lang w:val="en-US" w:eastAsia="zh-CN"/>
              </w:rPr>
              <w:t>4</w:t>
            </w:r>
            <w:r>
              <w:rPr>
                <w:rFonts w:hint="eastAsia" w:asciiTheme="minorEastAsia" w:hAnsiTheme="minorEastAsia"/>
                <w:szCs w:val="21"/>
                <w:highlight w:val="none"/>
              </w:rPr>
              <w:t>分（提供项目负责人职称证书复印件</w:t>
            </w:r>
            <w:r>
              <w:rPr>
                <w:rFonts w:hint="eastAsia" w:asciiTheme="minorEastAsia" w:hAnsiTheme="minorEastAsia"/>
                <w:szCs w:val="21"/>
                <w:highlight w:val="none"/>
                <w:lang w:eastAsia="zh-CN"/>
              </w:rPr>
              <w:t>近</w:t>
            </w:r>
            <w:r>
              <w:rPr>
                <w:rFonts w:hint="eastAsia" w:asciiTheme="minorEastAsia" w:hAnsiTheme="minorEastAsia"/>
                <w:szCs w:val="21"/>
                <w:highlight w:val="none"/>
                <w:lang w:val="en-US" w:eastAsia="zh-CN"/>
              </w:rPr>
              <w:t>6</w:t>
            </w:r>
            <w:r>
              <w:rPr>
                <w:rFonts w:hint="eastAsia" w:asciiTheme="minorEastAsia" w:hAnsiTheme="minorEastAsia"/>
                <w:szCs w:val="21"/>
                <w:highlight w:val="none"/>
                <w:lang w:eastAsia="zh-CN"/>
              </w:rPr>
              <w:t>个月</w:t>
            </w:r>
            <w:r>
              <w:rPr>
                <w:rFonts w:asciiTheme="minorEastAsia" w:hAnsiTheme="minorEastAsia"/>
                <w:szCs w:val="21"/>
                <w:highlight w:val="none"/>
              </w:rPr>
              <w:t>社保缴纳证明复印件加盖公章</w:t>
            </w:r>
            <w:r>
              <w:rPr>
                <w:rFonts w:hint="eastAsia" w:asciiTheme="minorEastAsia" w:hAnsiTheme="minorEastAsia"/>
                <w:szCs w:val="21"/>
                <w:highlight w:val="none"/>
              </w:rPr>
              <w:t>）；</w:t>
            </w:r>
          </w:p>
          <w:p>
            <w:pPr>
              <w:jc w:val="left"/>
              <w:rPr>
                <w:rFonts w:asciiTheme="minorEastAsia" w:hAnsiTheme="minorEastAsia"/>
                <w:szCs w:val="21"/>
                <w:highlight w:val="none"/>
              </w:rPr>
            </w:pPr>
            <w:r>
              <w:rPr>
                <w:rFonts w:hint="eastAsia" w:asciiTheme="minorEastAsia" w:hAnsiTheme="minorEastAsia"/>
                <w:szCs w:val="21"/>
                <w:highlight w:val="none"/>
              </w:rPr>
              <w:t>（2）项目负责人</w:t>
            </w:r>
            <w:r>
              <w:rPr>
                <w:rFonts w:hint="eastAsia" w:asciiTheme="minorEastAsia" w:hAnsiTheme="minorEastAsia"/>
                <w:szCs w:val="21"/>
                <w:highlight w:val="none"/>
                <w:lang w:eastAsia="zh-CN"/>
              </w:rPr>
              <w:t>近三年</w:t>
            </w:r>
            <w:r>
              <w:rPr>
                <w:rFonts w:hint="eastAsia" w:asciiTheme="minorEastAsia" w:hAnsiTheme="minorEastAsia" w:eastAsiaTheme="minorEastAsia"/>
                <w:sz w:val="21"/>
                <w:szCs w:val="21"/>
                <w:highlight w:val="none"/>
                <w:lang w:eastAsia="zh-CN"/>
              </w:rPr>
              <w:t>（</w:t>
            </w:r>
            <w:r>
              <w:rPr>
                <w:rFonts w:hint="eastAsia" w:asciiTheme="minorEastAsia" w:hAnsiTheme="minorEastAsia" w:eastAsiaTheme="minorEastAsia"/>
                <w:sz w:val="21"/>
                <w:szCs w:val="21"/>
                <w:highlight w:val="none"/>
                <w:lang w:val="en-US" w:eastAsia="zh-CN"/>
              </w:rPr>
              <w:t>2019年1月</w:t>
            </w:r>
            <w:r>
              <w:rPr>
                <w:rFonts w:hint="eastAsia" w:asciiTheme="minorEastAsia" w:hAnsiTheme="minorEastAsia" w:eastAsiaTheme="minorEastAsia"/>
                <w:sz w:val="21"/>
                <w:szCs w:val="21"/>
                <w:highlight w:val="none"/>
                <w:lang w:eastAsia="zh-CN"/>
              </w:rPr>
              <w:t>）</w:t>
            </w:r>
            <w:r>
              <w:rPr>
                <w:rFonts w:hint="eastAsia" w:asciiTheme="minorEastAsia" w:hAnsiTheme="minorEastAsia"/>
                <w:szCs w:val="21"/>
                <w:highlight w:val="none"/>
                <w:lang w:eastAsia="zh-CN"/>
              </w:rPr>
              <w:t>具有</w:t>
            </w:r>
            <w:r>
              <w:rPr>
                <w:rFonts w:hint="eastAsia" w:asciiTheme="minorEastAsia" w:hAnsiTheme="minorEastAsia" w:eastAsiaTheme="minorEastAsia"/>
                <w:sz w:val="21"/>
                <w:szCs w:val="21"/>
                <w:highlight w:val="none"/>
                <w:lang w:eastAsia="zh-CN"/>
              </w:rPr>
              <w:t>合同金额在</w:t>
            </w:r>
            <w:r>
              <w:rPr>
                <w:rFonts w:hint="eastAsia" w:asciiTheme="minorEastAsia" w:hAnsiTheme="minorEastAsia"/>
                <w:sz w:val="21"/>
                <w:szCs w:val="21"/>
                <w:highlight w:val="none"/>
                <w:lang w:val="en-US" w:eastAsia="zh-CN"/>
              </w:rPr>
              <w:t>50万</w:t>
            </w:r>
            <w:r>
              <w:rPr>
                <w:rFonts w:hint="eastAsia" w:asciiTheme="minorEastAsia" w:hAnsiTheme="minorEastAsia" w:eastAsiaTheme="minorEastAsia"/>
                <w:sz w:val="21"/>
                <w:szCs w:val="21"/>
                <w:highlight w:val="none"/>
                <w:lang w:val="en-US" w:eastAsia="zh-CN"/>
              </w:rPr>
              <w:t>元及以上</w:t>
            </w:r>
            <w:r>
              <w:rPr>
                <w:rFonts w:hint="eastAsia" w:asciiTheme="minorEastAsia" w:hAnsiTheme="minorEastAsia" w:eastAsiaTheme="minorEastAsia"/>
                <w:sz w:val="21"/>
                <w:szCs w:val="21"/>
                <w:highlight w:val="none"/>
              </w:rPr>
              <w:t>的</w:t>
            </w:r>
            <w:r>
              <w:rPr>
                <w:rFonts w:hint="eastAsia" w:asciiTheme="minorEastAsia" w:hAnsiTheme="minorEastAsia" w:eastAsiaTheme="minorEastAsia"/>
                <w:sz w:val="21"/>
                <w:szCs w:val="21"/>
                <w:highlight w:val="none"/>
                <w:lang w:eastAsia="zh-CN"/>
              </w:rPr>
              <w:t>道路标识标线</w:t>
            </w:r>
            <w:r>
              <w:rPr>
                <w:rFonts w:hint="eastAsia" w:asciiTheme="minorEastAsia" w:hAnsiTheme="minorEastAsia" w:eastAsiaTheme="minorEastAsia"/>
                <w:sz w:val="21"/>
                <w:szCs w:val="21"/>
                <w:highlight w:val="none"/>
              </w:rPr>
              <w:t>业绩</w:t>
            </w:r>
            <w:r>
              <w:rPr>
                <w:rFonts w:hint="eastAsia" w:asciiTheme="minorEastAsia" w:hAnsiTheme="minorEastAsia"/>
                <w:szCs w:val="21"/>
                <w:highlight w:val="none"/>
              </w:rPr>
              <w:t>的</w:t>
            </w:r>
            <w:r>
              <w:rPr>
                <w:rFonts w:hint="eastAsia" w:asciiTheme="minorEastAsia" w:hAnsiTheme="minorEastAsia"/>
                <w:szCs w:val="21"/>
                <w:highlight w:val="none"/>
                <w:lang w:eastAsia="zh-CN"/>
              </w:rPr>
              <w:t>，</w:t>
            </w:r>
            <w:r>
              <w:rPr>
                <w:rFonts w:hint="eastAsia" w:asciiTheme="minorEastAsia" w:hAnsiTheme="minorEastAsia"/>
                <w:szCs w:val="21"/>
                <w:highlight w:val="none"/>
              </w:rPr>
              <w:t>有一项得</w:t>
            </w:r>
            <w:r>
              <w:rPr>
                <w:rFonts w:hint="eastAsia" w:asciiTheme="minorEastAsia" w:hAnsiTheme="minorEastAsia"/>
                <w:szCs w:val="21"/>
                <w:highlight w:val="none"/>
                <w:lang w:val="en-US" w:eastAsia="zh-CN"/>
              </w:rPr>
              <w:t>3</w:t>
            </w:r>
            <w:r>
              <w:rPr>
                <w:rFonts w:hint="eastAsia" w:asciiTheme="minorEastAsia" w:hAnsiTheme="minorEastAsia"/>
                <w:szCs w:val="21"/>
                <w:highlight w:val="none"/>
              </w:rPr>
              <w:t>分，最多得</w:t>
            </w:r>
            <w:r>
              <w:rPr>
                <w:rFonts w:hint="eastAsia" w:asciiTheme="minorEastAsia" w:hAnsiTheme="minorEastAsia"/>
                <w:szCs w:val="21"/>
                <w:highlight w:val="none"/>
                <w:lang w:val="en-US" w:eastAsia="zh-CN"/>
              </w:rPr>
              <w:t>6</w:t>
            </w:r>
            <w:r>
              <w:rPr>
                <w:rFonts w:hint="eastAsia" w:asciiTheme="minorEastAsia" w:hAnsiTheme="minorEastAsia"/>
                <w:szCs w:val="21"/>
                <w:highlight w:val="none"/>
              </w:rPr>
              <w:t>分。（</w:t>
            </w:r>
            <w:r>
              <w:rPr>
                <w:rFonts w:hint="eastAsia"/>
                <w:szCs w:val="21"/>
                <w:highlight w:val="none"/>
              </w:rPr>
              <w:t>提供施工合同或中标通知书扫描件）</w:t>
            </w:r>
          </w:p>
        </w:tc>
      </w:tr>
      <w:tr>
        <w:tblPrEx>
          <w:tblCellMar>
            <w:top w:w="0" w:type="dxa"/>
            <w:left w:w="0" w:type="dxa"/>
            <w:bottom w:w="0" w:type="dxa"/>
            <w:right w:w="0" w:type="dxa"/>
          </w:tblCellMar>
        </w:tblPrEx>
        <w:trPr>
          <w:trHeight w:val="551" w:hRule="atLeast"/>
          <w:jc w:val="center"/>
        </w:trPr>
        <w:tc>
          <w:tcPr>
            <w:tcW w:w="577"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highlight w:val="none"/>
              </w:rPr>
            </w:pPr>
            <w:r>
              <w:rPr>
                <w:rFonts w:hint="eastAsia" w:asciiTheme="minorEastAsia" w:hAnsiTheme="minorEastAsia"/>
                <w:b/>
                <w:szCs w:val="21"/>
                <w:highlight w:val="none"/>
              </w:rPr>
              <w:t>3</w:t>
            </w:r>
          </w:p>
        </w:tc>
        <w:tc>
          <w:tcPr>
            <w:tcW w:w="8648"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Theme="minorEastAsia" w:hAnsiTheme="minorEastAsia"/>
                <w:b/>
                <w:szCs w:val="21"/>
                <w:highlight w:val="none"/>
              </w:rPr>
            </w:pPr>
            <w:r>
              <w:rPr>
                <w:rFonts w:hint="eastAsia" w:asciiTheme="minorEastAsia" w:hAnsiTheme="minorEastAsia"/>
                <w:b/>
                <w:szCs w:val="21"/>
                <w:highlight w:val="none"/>
              </w:rPr>
              <w:t>技术部分</w:t>
            </w:r>
            <w:r>
              <w:rPr>
                <w:rFonts w:hint="eastAsia" w:asciiTheme="minorEastAsia" w:hAnsiTheme="minorEastAsia"/>
                <w:b/>
                <w:szCs w:val="21"/>
                <w:highlight w:val="none"/>
                <w:lang w:val="en-US" w:eastAsia="zh-CN"/>
              </w:rPr>
              <w:t>15</w:t>
            </w:r>
            <w:r>
              <w:rPr>
                <w:rFonts w:hint="eastAsia" w:asciiTheme="minorEastAsia" w:hAnsiTheme="minorEastAsia"/>
                <w:b/>
                <w:szCs w:val="21"/>
                <w:highlight w:val="none"/>
              </w:rPr>
              <w:t>分</w:t>
            </w:r>
          </w:p>
        </w:tc>
      </w:tr>
      <w:tr>
        <w:tblPrEx>
          <w:tblCellMar>
            <w:top w:w="0" w:type="dxa"/>
            <w:left w:w="0" w:type="dxa"/>
            <w:bottom w:w="0" w:type="dxa"/>
            <w:right w:w="0" w:type="dxa"/>
          </w:tblCellMar>
        </w:tblPrEx>
        <w:trPr>
          <w:trHeight w:val="341" w:hRule="atLeast"/>
          <w:jc w:val="center"/>
        </w:trPr>
        <w:tc>
          <w:tcPr>
            <w:tcW w:w="577"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highlight w:val="none"/>
              </w:rPr>
            </w:pPr>
          </w:p>
        </w:tc>
        <w:tc>
          <w:tcPr>
            <w:tcW w:w="20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highlight w:val="none"/>
              </w:rPr>
            </w:pPr>
            <w:r>
              <w:rPr>
                <w:rFonts w:hint="eastAsia" w:asciiTheme="minorEastAsia" w:hAnsiTheme="minorEastAsia"/>
                <w:b/>
                <w:szCs w:val="21"/>
                <w:highlight w:val="none"/>
              </w:rPr>
              <w:t>评分因素</w:t>
            </w:r>
          </w:p>
        </w:tc>
        <w:tc>
          <w:tcPr>
            <w:tcW w:w="66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Theme="minorEastAsia" w:hAnsiTheme="minorEastAsia"/>
                <w:b/>
                <w:szCs w:val="21"/>
                <w:highlight w:val="none"/>
              </w:rPr>
            </w:pPr>
            <w:r>
              <w:rPr>
                <w:rFonts w:hint="eastAsia" w:asciiTheme="minorEastAsia" w:hAnsiTheme="minorEastAsia"/>
                <w:b/>
                <w:szCs w:val="21"/>
                <w:highlight w:val="none"/>
              </w:rPr>
              <w:t>评分标准</w:t>
            </w:r>
          </w:p>
        </w:tc>
      </w:tr>
      <w:tr>
        <w:tblPrEx>
          <w:tblCellMar>
            <w:top w:w="0" w:type="dxa"/>
            <w:left w:w="0" w:type="dxa"/>
            <w:bottom w:w="0" w:type="dxa"/>
            <w:right w:w="0" w:type="dxa"/>
          </w:tblCellMar>
        </w:tblPrEx>
        <w:trPr>
          <w:trHeight w:val="750" w:hRule="atLeast"/>
          <w:jc w:val="center"/>
        </w:trPr>
        <w:tc>
          <w:tcPr>
            <w:tcW w:w="57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highlight w:val="none"/>
              </w:rPr>
            </w:pPr>
            <w:r>
              <w:rPr>
                <w:rFonts w:hint="eastAsia" w:asciiTheme="minorEastAsia" w:hAnsiTheme="minorEastAsia"/>
                <w:szCs w:val="21"/>
                <w:highlight w:val="none"/>
              </w:rPr>
              <w:t>3.2</w:t>
            </w:r>
          </w:p>
        </w:tc>
        <w:tc>
          <w:tcPr>
            <w:tcW w:w="20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400" w:lineRule="atLeast"/>
              <w:jc w:val="center"/>
              <w:textAlignment w:val="center"/>
              <w:rPr>
                <w:rFonts w:ascii="宋体" w:hAnsi="宋体" w:cs="宋体"/>
                <w:color w:val="000000"/>
                <w:kern w:val="0"/>
                <w:szCs w:val="21"/>
                <w:highlight w:val="none"/>
              </w:rPr>
            </w:pPr>
            <w:r>
              <w:rPr>
                <w:rFonts w:hint="eastAsia" w:ascii="宋体" w:hAnsi="宋体"/>
                <w:color w:val="000000"/>
                <w:szCs w:val="21"/>
                <w:highlight w:val="none"/>
              </w:rPr>
              <w:t>施工部署（</w:t>
            </w:r>
            <w:r>
              <w:rPr>
                <w:rFonts w:hint="eastAsia" w:ascii="宋体" w:hAnsi="宋体"/>
                <w:color w:val="000000"/>
                <w:szCs w:val="21"/>
                <w:highlight w:val="none"/>
                <w:lang w:val="en-US" w:eastAsia="zh-CN"/>
              </w:rPr>
              <w:t>7</w:t>
            </w:r>
            <w:r>
              <w:rPr>
                <w:rFonts w:hint="eastAsia" w:ascii="宋体" w:hAnsi="宋体"/>
                <w:color w:val="000000"/>
                <w:szCs w:val="21"/>
                <w:highlight w:val="none"/>
              </w:rPr>
              <w:t>分）</w:t>
            </w:r>
          </w:p>
        </w:tc>
        <w:tc>
          <w:tcPr>
            <w:tcW w:w="66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left"/>
              <w:rPr>
                <w:rFonts w:hint="eastAsia" w:asciiTheme="minorEastAsia" w:hAnsiTheme="minorEastAsia"/>
                <w:szCs w:val="21"/>
                <w:highlight w:val="none"/>
                <w:lang w:eastAsia="zh-CN"/>
              </w:rPr>
            </w:pPr>
            <w:r>
              <w:rPr>
                <w:rFonts w:hint="eastAsia" w:asciiTheme="minorEastAsia" w:hAnsiTheme="minorEastAsia"/>
                <w:szCs w:val="21"/>
                <w:highlight w:val="none"/>
                <w:lang w:eastAsia="zh-CN"/>
              </w:rPr>
              <w:t>施工组织设计的针对性、完整性0-</w:t>
            </w:r>
            <w:r>
              <w:rPr>
                <w:rFonts w:hint="eastAsia" w:asciiTheme="minorEastAsia" w:hAnsiTheme="minorEastAsia"/>
                <w:szCs w:val="21"/>
                <w:highlight w:val="none"/>
                <w:lang w:val="en-US" w:eastAsia="zh-CN"/>
              </w:rPr>
              <w:t>7</w:t>
            </w:r>
            <w:r>
              <w:rPr>
                <w:rFonts w:hint="eastAsia" w:asciiTheme="minorEastAsia" w:hAnsiTheme="minorEastAsia"/>
                <w:szCs w:val="21"/>
                <w:highlight w:val="none"/>
                <w:lang w:eastAsia="zh-CN"/>
              </w:rPr>
              <w:t>分（如施工组织设计基本内容缺项，该项可打零分）</w:t>
            </w:r>
          </w:p>
        </w:tc>
      </w:tr>
      <w:tr>
        <w:tblPrEx>
          <w:tblCellMar>
            <w:top w:w="0" w:type="dxa"/>
            <w:left w:w="0" w:type="dxa"/>
            <w:bottom w:w="0" w:type="dxa"/>
            <w:right w:w="0" w:type="dxa"/>
          </w:tblCellMar>
        </w:tblPrEx>
        <w:trPr>
          <w:trHeight w:val="678" w:hRule="atLeast"/>
          <w:jc w:val="center"/>
        </w:trPr>
        <w:tc>
          <w:tcPr>
            <w:tcW w:w="57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highlight w:val="none"/>
              </w:rPr>
            </w:pPr>
            <w:r>
              <w:rPr>
                <w:rFonts w:hint="eastAsia" w:asciiTheme="minorEastAsia" w:hAnsiTheme="minorEastAsia"/>
                <w:szCs w:val="21"/>
                <w:highlight w:val="none"/>
              </w:rPr>
              <w:t>3.6</w:t>
            </w:r>
          </w:p>
        </w:tc>
        <w:tc>
          <w:tcPr>
            <w:tcW w:w="20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00" w:lineRule="atLeast"/>
              <w:jc w:val="center"/>
              <w:rPr>
                <w:rFonts w:ascii="宋体" w:hAnsi="宋体" w:cs="宋体"/>
                <w:szCs w:val="21"/>
                <w:highlight w:val="none"/>
              </w:rPr>
            </w:pPr>
            <w:r>
              <w:rPr>
                <w:rFonts w:hint="eastAsia" w:ascii="宋体" w:hAnsi="宋体" w:cs="宋体"/>
                <w:szCs w:val="21"/>
                <w:highlight w:val="none"/>
              </w:rPr>
              <w:t>质量保证体系</w:t>
            </w:r>
          </w:p>
          <w:p>
            <w:pPr>
              <w:spacing w:line="400" w:lineRule="atLeast"/>
              <w:jc w:val="center"/>
              <w:rPr>
                <w:rFonts w:ascii="宋体" w:hAnsi="宋体"/>
                <w:color w:val="000000"/>
                <w:szCs w:val="21"/>
                <w:highlight w:val="none"/>
              </w:rPr>
            </w:pPr>
            <w:r>
              <w:rPr>
                <w:rFonts w:hint="eastAsia" w:ascii="宋体" w:hAnsi="宋体"/>
                <w:color w:val="000000"/>
                <w:szCs w:val="21"/>
                <w:highlight w:val="none"/>
              </w:rPr>
              <w:t>（</w:t>
            </w:r>
            <w:r>
              <w:rPr>
                <w:rFonts w:hint="eastAsia" w:ascii="宋体" w:hAnsi="宋体"/>
                <w:color w:val="000000"/>
                <w:szCs w:val="21"/>
                <w:highlight w:val="none"/>
                <w:lang w:val="en-US" w:eastAsia="zh-CN"/>
              </w:rPr>
              <w:t>8</w:t>
            </w:r>
            <w:r>
              <w:rPr>
                <w:rFonts w:hint="eastAsia" w:ascii="宋体" w:hAnsi="宋体"/>
                <w:color w:val="000000"/>
                <w:szCs w:val="21"/>
                <w:highlight w:val="none"/>
              </w:rPr>
              <w:t>分）</w:t>
            </w:r>
          </w:p>
        </w:tc>
        <w:tc>
          <w:tcPr>
            <w:tcW w:w="663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eastAsia" w:asciiTheme="minorEastAsia" w:hAnsiTheme="minorEastAsia"/>
                <w:szCs w:val="21"/>
                <w:highlight w:val="none"/>
              </w:rPr>
            </w:pPr>
            <w:r>
              <w:rPr>
                <w:rFonts w:hint="eastAsia" w:asciiTheme="minorEastAsia" w:hAnsiTheme="minorEastAsia"/>
                <w:szCs w:val="21"/>
                <w:highlight w:val="none"/>
              </w:rPr>
              <w:t>质量保证体系完整，措施且具针对性和可行性，确保工程质量的技术组织措施，使用的新技术、新工艺的图文说明0-</w:t>
            </w:r>
            <w:r>
              <w:rPr>
                <w:rFonts w:hint="eastAsia" w:asciiTheme="minorEastAsia" w:hAnsiTheme="minorEastAsia"/>
                <w:szCs w:val="21"/>
                <w:highlight w:val="none"/>
                <w:lang w:val="en-US" w:eastAsia="zh-CN"/>
              </w:rPr>
              <w:t>8</w:t>
            </w:r>
            <w:r>
              <w:rPr>
                <w:rFonts w:hint="eastAsia" w:asciiTheme="minorEastAsia" w:hAnsiTheme="minorEastAsia"/>
                <w:szCs w:val="21"/>
                <w:highlight w:val="none"/>
              </w:rPr>
              <w:t>分。</w:t>
            </w:r>
          </w:p>
        </w:tc>
      </w:tr>
    </w:tbl>
    <w:p>
      <w:pPr>
        <w:spacing w:line="360" w:lineRule="auto"/>
        <w:ind w:firstLine="420" w:firstLineChars="200"/>
        <w:jc w:val="left"/>
        <w:rPr>
          <w:rFonts w:asciiTheme="minorEastAsia" w:hAnsiTheme="minorEastAsia"/>
          <w:szCs w:val="21"/>
          <w:highlight w:val="none"/>
        </w:rPr>
      </w:pPr>
      <w:r>
        <w:rPr>
          <w:rFonts w:hint="eastAsia" w:asciiTheme="minorEastAsia" w:hAnsiTheme="minorEastAsia"/>
          <w:szCs w:val="21"/>
          <w:highlight w:val="none"/>
        </w:rPr>
        <w:t xml:space="preserve">二、计分方法 </w:t>
      </w:r>
    </w:p>
    <w:p>
      <w:pPr>
        <w:spacing w:line="360" w:lineRule="auto"/>
        <w:ind w:firstLine="420" w:firstLineChars="200"/>
        <w:jc w:val="left"/>
        <w:rPr>
          <w:rFonts w:asciiTheme="minorEastAsia" w:hAnsiTheme="minorEastAsia"/>
          <w:szCs w:val="21"/>
          <w:highlight w:val="none"/>
        </w:rPr>
      </w:pPr>
      <w:bookmarkStart w:id="0" w:name="_Toc13053"/>
      <w:bookmarkStart w:id="1" w:name="_Toc17050"/>
      <w:r>
        <w:rPr>
          <w:rFonts w:hint="eastAsia" w:asciiTheme="minorEastAsia" w:hAnsiTheme="minorEastAsia"/>
          <w:szCs w:val="21"/>
          <w:highlight w:val="none"/>
        </w:rPr>
        <w:t>3.1 评标委员会成员按照招标文件和本细则上述有关规定，给投标人综合评审，独立打分；</w:t>
      </w:r>
      <w:bookmarkEnd w:id="0"/>
      <w:bookmarkEnd w:id="1"/>
      <w:r>
        <w:rPr>
          <w:rFonts w:hint="eastAsia" w:asciiTheme="minorEastAsia" w:hAnsiTheme="minorEastAsia"/>
          <w:szCs w:val="21"/>
          <w:highlight w:val="none"/>
        </w:rPr>
        <w:t xml:space="preserve"> </w:t>
      </w:r>
    </w:p>
    <w:p>
      <w:pPr>
        <w:spacing w:line="360" w:lineRule="auto"/>
        <w:ind w:firstLine="420" w:firstLineChars="200"/>
        <w:jc w:val="left"/>
        <w:rPr>
          <w:rFonts w:asciiTheme="minorEastAsia" w:hAnsiTheme="minorEastAsia"/>
          <w:szCs w:val="21"/>
          <w:highlight w:val="none"/>
        </w:rPr>
      </w:pPr>
      <w:bookmarkStart w:id="2" w:name="_Toc21677"/>
      <w:bookmarkStart w:id="3" w:name="_Toc18166"/>
      <w:r>
        <w:rPr>
          <w:rFonts w:hint="eastAsia" w:asciiTheme="minorEastAsia" w:hAnsiTheme="minorEastAsia"/>
          <w:szCs w:val="21"/>
          <w:highlight w:val="none"/>
        </w:rPr>
        <w:t>3.2 各投标人的最终得分为各评委所评定分数的算术平均值；</w:t>
      </w:r>
      <w:bookmarkEnd w:id="2"/>
      <w:bookmarkEnd w:id="3"/>
      <w:r>
        <w:rPr>
          <w:rFonts w:hint="eastAsia" w:asciiTheme="minorEastAsia" w:hAnsiTheme="minorEastAsia"/>
          <w:szCs w:val="21"/>
          <w:highlight w:val="none"/>
        </w:rPr>
        <w:t xml:space="preserve"> </w:t>
      </w:r>
    </w:p>
    <w:p>
      <w:pPr>
        <w:spacing w:line="360" w:lineRule="auto"/>
        <w:ind w:firstLine="420" w:firstLineChars="200"/>
        <w:jc w:val="left"/>
        <w:rPr>
          <w:rFonts w:asciiTheme="minorEastAsia" w:hAnsiTheme="minorEastAsia"/>
          <w:szCs w:val="21"/>
          <w:highlight w:val="none"/>
        </w:rPr>
      </w:pPr>
      <w:bookmarkStart w:id="4" w:name="_Toc29019"/>
      <w:bookmarkStart w:id="5" w:name="_Toc7843"/>
      <w:r>
        <w:rPr>
          <w:rFonts w:hint="eastAsia" w:asciiTheme="minorEastAsia" w:hAnsiTheme="minorEastAsia"/>
          <w:szCs w:val="21"/>
          <w:highlight w:val="none"/>
        </w:rPr>
        <w:t>3.3 各项统计、评分结果均按四舍五入方法精确到小数点后两位；</w:t>
      </w:r>
      <w:bookmarkEnd w:id="4"/>
      <w:bookmarkEnd w:id="5"/>
      <w:r>
        <w:rPr>
          <w:rFonts w:hint="eastAsia" w:asciiTheme="minorEastAsia" w:hAnsiTheme="minorEastAsia"/>
          <w:szCs w:val="21"/>
          <w:highlight w:val="none"/>
        </w:rPr>
        <w:t xml:space="preserve"> </w:t>
      </w:r>
      <w:bookmarkStart w:id="6" w:name="_Toc17319"/>
      <w:bookmarkStart w:id="7" w:name="_Toc26608"/>
    </w:p>
    <w:p>
      <w:pPr>
        <w:spacing w:line="360" w:lineRule="auto"/>
        <w:ind w:firstLine="420" w:firstLineChars="200"/>
        <w:jc w:val="left"/>
        <w:rPr>
          <w:rFonts w:asciiTheme="minorEastAsia" w:hAnsiTheme="minorEastAsia"/>
          <w:szCs w:val="21"/>
          <w:highlight w:val="none"/>
        </w:rPr>
      </w:pPr>
      <w:r>
        <w:rPr>
          <w:rFonts w:hint="eastAsia" w:asciiTheme="minorEastAsia" w:hAnsiTheme="minorEastAsia"/>
          <w:szCs w:val="21"/>
          <w:highlight w:val="none"/>
        </w:rPr>
        <w:t>3.4 评标完成后，评标委员会应当根据综合评分情况，按照评审得分由高到低顺序推荐3名中标候选人，并编写评标报告。评审得分相同的，按照最后报价由低到高的顺序推</w:t>
      </w:r>
      <w:bookmarkEnd w:id="6"/>
      <w:bookmarkEnd w:id="7"/>
      <w:bookmarkStart w:id="8" w:name="_Toc23575"/>
      <w:bookmarkStart w:id="9" w:name="_Toc3669"/>
      <w:r>
        <w:rPr>
          <w:rFonts w:hint="eastAsia" w:asciiTheme="minorEastAsia" w:hAnsiTheme="minorEastAsia"/>
          <w:szCs w:val="21"/>
          <w:highlight w:val="none"/>
        </w:rPr>
        <w:t>荐。评审得分且最后报价相同的，按照技术指标优劣顺序推荐。</w:t>
      </w:r>
      <w:bookmarkEnd w:id="8"/>
      <w:bookmarkEnd w:id="9"/>
    </w:p>
    <w:p>
      <w:pPr>
        <w:jc w:val="center"/>
        <w:rPr>
          <w:b/>
          <w:bCs/>
          <w:szCs w:val="21"/>
          <w:highlight w:val="none"/>
        </w:rPr>
      </w:pPr>
    </w:p>
    <w:p>
      <w:pPr>
        <w:rPr>
          <w:rFonts w:hint="eastAsia"/>
          <w:b/>
          <w:bCs/>
          <w:szCs w:val="21"/>
          <w:highlight w:val="none"/>
        </w:rPr>
      </w:pPr>
      <w:r>
        <w:rPr>
          <w:rFonts w:hint="eastAsia"/>
          <w:b/>
          <w:bCs/>
          <w:szCs w:val="21"/>
          <w:highlight w:val="none"/>
        </w:rPr>
        <w:br w:type="page"/>
      </w:r>
    </w:p>
    <w:p>
      <w:pPr>
        <w:jc w:val="center"/>
        <w:rPr>
          <w:rFonts w:hint="eastAsia" w:eastAsiaTheme="minorEastAsia"/>
          <w:b/>
          <w:bCs/>
          <w:szCs w:val="21"/>
          <w:highlight w:val="none"/>
          <w:lang w:eastAsia="zh-CN"/>
        </w:rPr>
      </w:pPr>
      <w:r>
        <w:rPr>
          <w:rFonts w:hint="eastAsia"/>
          <w:b/>
          <w:bCs/>
          <w:szCs w:val="21"/>
          <w:highlight w:val="none"/>
          <w:lang w:eastAsia="zh-CN"/>
        </w:rPr>
        <w:t>技术规格书</w:t>
      </w:r>
    </w:p>
    <w:p>
      <w:pPr>
        <w:rPr>
          <w:szCs w:val="21"/>
          <w:highlight w:val="none"/>
        </w:rPr>
      </w:pPr>
    </w:p>
    <w:p>
      <w:pPr>
        <w:spacing w:line="360" w:lineRule="auto"/>
        <w:ind w:firstLine="420" w:firstLineChars="200"/>
        <w:jc w:val="left"/>
        <w:rPr>
          <w:rFonts w:hint="eastAsia" w:asciiTheme="minorEastAsia" w:hAnsiTheme="minorEastAsia"/>
          <w:szCs w:val="21"/>
          <w:highlight w:val="none"/>
          <w:lang w:val="en-GB"/>
        </w:rPr>
      </w:pPr>
      <w:bookmarkStart w:id="10" w:name="_Toc16001"/>
      <w:r>
        <w:rPr>
          <w:rFonts w:hint="eastAsia" w:asciiTheme="minorEastAsia" w:hAnsiTheme="minorEastAsia"/>
          <w:szCs w:val="21"/>
          <w:highlight w:val="none"/>
          <w:lang w:val="en-US" w:eastAsia="zh-CN"/>
        </w:rPr>
        <w:t>一、</w:t>
      </w:r>
      <w:r>
        <w:rPr>
          <w:rFonts w:hint="eastAsia" w:asciiTheme="minorEastAsia" w:hAnsiTheme="minorEastAsia"/>
          <w:szCs w:val="21"/>
          <w:highlight w:val="none"/>
          <w:lang w:val="en-GB"/>
        </w:rPr>
        <w:t>交通标线</w:t>
      </w:r>
      <w:bookmarkEnd w:id="10"/>
    </w:p>
    <w:p>
      <w:pPr>
        <w:spacing w:line="360" w:lineRule="auto"/>
        <w:ind w:firstLine="420" w:firstLineChars="200"/>
        <w:jc w:val="left"/>
        <w:rPr>
          <w:rFonts w:hint="eastAsia" w:asciiTheme="minorEastAsia" w:hAnsiTheme="minorEastAsia"/>
          <w:szCs w:val="21"/>
          <w:highlight w:val="none"/>
        </w:rPr>
      </w:pPr>
      <w:r>
        <w:rPr>
          <w:rFonts w:hint="eastAsia" w:asciiTheme="minorEastAsia" w:hAnsiTheme="minorEastAsia"/>
          <w:szCs w:val="21"/>
          <w:highlight w:val="none"/>
          <w:lang w:eastAsia="zh-CN"/>
        </w:rPr>
        <w:t>（一）</w:t>
      </w:r>
      <w:r>
        <w:rPr>
          <w:rFonts w:hint="eastAsia" w:asciiTheme="minorEastAsia" w:hAnsiTheme="minorEastAsia"/>
          <w:szCs w:val="21"/>
          <w:highlight w:val="none"/>
        </w:rPr>
        <w:t>交通标线包括各种路面标线、导向箭头、文字、立面标记等：</w:t>
      </w:r>
    </w:p>
    <w:p>
      <w:pPr>
        <w:spacing w:line="360" w:lineRule="auto"/>
        <w:ind w:firstLine="420" w:firstLineChars="200"/>
        <w:jc w:val="left"/>
        <w:rPr>
          <w:rFonts w:hint="eastAsia" w:asciiTheme="minorEastAsia" w:hAnsiTheme="minorEastAsia"/>
          <w:szCs w:val="21"/>
          <w:highlight w:val="none"/>
        </w:rPr>
      </w:pPr>
      <w:r>
        <w:rPr>
          <w:rFonts w:hint="eastAsia" w:asciiTheme="minorEastAsia" w:hAnsiTheme="minorEastAsia"/>
          <w:szCs w:val="21"/>
          <w:highlight w:val="none"/>
          <w:lang w:val="en-US" w:eastAsia="zh-CN"/>
        </w:rPr>
        <w:t>1.</w:t>
      </w:r>
      <w:r>
        <w:rPr>
          <w:rFonts w:hint="eastAsia" w:asciiTheme="minorEastAsia" w:hAnsiTheme="minorEastAsia"/>
          <w:szCs w:val="21"/>
          <w:highlight w:val="none"/>
        </w:rPr>
        <w:t>车道分界线：白色虚线，线宽15厘米；用以分隔同向交通流，设在同向行驶的车道分界位置。在保证安全的情况下，允许车辆越线变换车道行驶。</w:t>
      </w:r>
    </w:p>
    <w:p>
      <w:pPr>
        <w:spacing w:line="360" w:lineRule="auto"/>
        <w:ind w:firstLine="420" w:firstLineChars="200"/>
        <w:jc w:val="left"/>
        <w:rPr>
          <w:rFonts w:hint="eastAsia" w:asciiTheme="minorEastAsia" w:hAnsiTheme="minorEastAsia"/>
          <w:szCs w:val="21"/>
          <w:highlight w:val="none"/>
        </w:rPr>
      </w:pPr>
      <w:r>
        <w:rPr>
          <w:rFonts w:hint="eastAsia" w:asciiTheme="minorEastAsia" w:hAnsiTheme="minorEastAsia"/>
          <w:szCs w:val="21"/>
          <w:highlight w:val="none"/>
          <w:lang w:val="en-US" w:eastAsia="zh-CN"/>
        </w:rPr>
        <w:t>2.</w:t>
      </w:r>
      <w:r>
        <w:rPr>
          <w:rFonts w:hint="eastAsia" w:asciiTheme="minorEastAsia" w:hAnsiTheme="minorEastAsia"/>
          <w:szCs w:val="21"/>
          <w:highlight w:val="none"/>
        </w:rPr>
        <w:t>车道内外边缘线：为白色实线，线宽15厘米；用以指示机动车道的边缘。车道边缘线应标划在两侧路缘带范围，其内边线与车道边缘重合，从而保证行车道的有效宽度。</w:t>
      </w:r>
    </w:p>
    <w:p>
      <w:pPr>
        <w:spacing w:line="360" w:lineRule="auto"/>
        <w:ind w:firstLine="420" w:firstLineChars="200"/>
        <w:jc w:val="left"/>
        <w:rPr>
          <w:rFonts w:hint="eastAsia" w:asciiTheme="minorEastAsia" w:hAnsiTheme="minorEastAsia"/>
          <w:szCs w:val="21"/>
          <w:highlight w:val="none"/>
        </w:rPr>
      </w:pPr>
      <w:r>
        <w:rPr>
          <w:rFonts w:hint="eastAsia" w:asciiTheme="minorEastAsia" w:hAnsiTheme="minorEastAsia"/>
          <w:szCs w:val="21"/>
          <w:highlight w:val="none"/>
          <w:lang w:val="en-US" w:eastAsia="zh-CN"/>
        </w:rPr>
        <w:t>3.</w:t>
      </w:r>
      <w:r>
        <w:rPr>
          <w:rFonts w:hint="eastAsia" w:asciiTheme="minorEastAsia" w:hAnsiTheme="minorEastAsia"/>
          <w:szCs w:val="21"/>
          <w:highlight w:val="none"/>
        </w:rPr>
        <w:t>交通标线的虚线间隔长度的确定：交通标线虚线中的实线段与间隔长度的比例与车行速度直接有关。为使交通标线达到最佳使用效果，即闪现率达到2.5～3次/秒，根据设计车速计算，交通标线按实线段长度为2米，间隔长度为4米设置。</w:t>
      </w:r>
    </w:p>
    <w:p>
      <w:pPr>
        <w:spacing w:line="360" w:lineRule="auto"/>
        <w:ind w:firstLine="420" w:firstLineChars="200"/>
        <w:jc w:val="left"/>
        <w:rPr>
          <w:rFonts w:hint="eastAsia" w:asciiTheme="minorEastAsia" w:hAnsiTheme="minorEastAsia"/>
          <w:szCs w:val="21"/>
          <w:highlight w:val="none"/>
        </w:rPr>
      </w:pPr>
      <w:r>
        <w:rPr>
          <w:rFonts w:hint="eastAsia" w:asciiTheme="minorEastAsia" w:hAnsiTheme="minorEastAsia"/>
          <w:szCs w:val="21"/>
          <w:highlight w:val="none"/>
          <w:lang w:val="en-US" w:eastAsia="zh-CN"/>
        </w:rPr>
        <w:t>4.</w:t>
      </w:r>
      <w:r>
        <w:rPr>
          <w:rFonts w:hint="eastAsia" w:asciiTheme="minorEastAsia" w:hAnsiTheme="minorEastAsia"/>
          <w:szCs w:val="21"/>
          <w:highlight w:val="none"/>
        </w:rPr>
        <w:t>导向箭头、地面文字应根据所在位置设计车速确定尺寸，颜色为白色，导向箭头长度为6米，地面文字长度为6米。</w:t>
      </w:r>
    </w:p>
    <w:p>
      <w:pPr>
        <w:spacing w:line="360" w:lineRule="auto"/>
        <w:ind w:firstLine="420" w:firstLineChars="200"/>
        <w:jc w:val="left"/>
        <w:rPr>
          <w:rFonts w:hint="eastAsia" w:asciiTheme="minorEastAsia" w:hAnsiTheme="minorEastAsia"/>
          <w:szCs w:val="21"/>
          <w:highlight w:val="none"/>
        </w:rPr>
      </w:pPr>
      <w:r>
        <w:rPr>
          <w:rFonts w:hint="eastAsia" w:asciiTheme="minorEastAsia" w:hAnsiTheme="minorEastAsia"/>
          <w:szCs w:val="21"/>
          <w:highlight w:val="none"/>
          <w:lang w:val="en-US" w:eastAsia="zh-CN"/>
        </w:rPr>
        <w:t>5.</w:t>
      </w:r>
      <w:r>
        <w:rPr>
          <w:rFonts w:hint="eastAsia" w:asciiTheme="minorEastAsia" w:hAnsiTheme="minorEastAsia"/>
          <w:szCs w:val="21"/>
          <w:highlight w:val="none"/>
        </w:rPr>
        <w:t>人行横道线：为白色平行粗实线（斑马线），表示准许行人横穿车行道的标线。本工程人行横道线宽度采用6米，线宽45厘米，间隔60厘米。</w:t>
      </w:r>
    </w:p>
    <w:p>
      <w:pPr>
        <w:spacing w:line="360" w:lineRule="auto"/>
        <w:ind w:firstLine="420" w:firstLineChars="200"/>
        <w:jc w:val="left"/>
        <w:rPr>
          <w:rFonts w:hint="eastAsia" w:asciiTheme="minorEastAsia" w:hAnsiTheme="minorEastAsia"/>
          <w:szCs w:val="21"/>
          <w:highlight w:val="none"/>
        </w:rPr>
      </w:pPr>
      <w:r>
        <w:rPr>
          <w:rFonts w:hint="eastAsia" w:asciiTheme="minorEastAsia" w:hAnsiTheme="minorEastAsia"/>
          <w:szCs w:val="21"/>
          <w:highlight w:val="none"/>
          <w:lang w:val="en-US" w:eastAsia="zh-CN"/>
        </w:rPr>
        <w:t>6.</w:t>
      </w:r>
      <w:r>
        <w:rPr>
          <w:rFonts w:hint="eastAsia" w:asciiTheme="minorEastAsia" w:hAnsiTheme="minorEastAsia"/>
          <w:szCs w:val="21"/>
          <w:highlight w:val="none"/>
        </w:rPr>
        <w:t>本项目标线采用热熔反光性标线涂料，标线涂料应符合《路面标线涂料》（JT/T 280-2004）的要求。</w:t>
      </w:r>
    </w:p>
    <w:p>
      <w:pPr>
        <w:spacing w:line="360" w:lineRule="auto"/>
        <w:ind w:firstLine="420" w:firstLineChars="200"/>
        <w:jc w:val="left"/>
        <w:rPr>
          <w:rFonts w:hint="eastAsia" w:asciiTheme="minorEastAsia" w:hAnsiTheme="minorEastAsia"/>
          <w:szCs w:val="21"/>
          <w:highlight w:val="none"/>
        </w:rPr>
      </w:pPr>
      <w:r>
        <w:rPr>
          <w:rFonts w:hint="eastAsia" w:asciiTheme="minorEastAsia" w:hAnsiTheme="minorEastAsia"/>
          <w:szCs w:val="21"/>
          <w:highlight w:val="none"/>
          <w:lang w:val="en-US" w:eastAsia="zh-CN"/>
        </w:rPr>
        <w:t>7.</w:t>
      </w:r>
      <w:r>
        <w:rPr>
          <w:rFonts w:hint="eastAsia" w:asciiTheme="minorEastAsia" w:hAnsiTheme="minorEastAsia"/>
          <w:szCs w:val="21"/>
          <w:highlight w:val="none"/>
        </w:rPr>
        <w:t>车道边缘线、车道分界线、导向箭头及地面标注等标线采用热溶反光型标线涂料，标线厚2.0±0.2mm。涂料中含18～25%玻璃微珠，施工时涂布涂层后立即将玻璃微珠撒布在其表面。</w:t>
      </w:r>
    </w:p>
    <w:p>
      <w:pPr>
        <w:spacing w:line="360" w:lineRule="auto"/>
        <w:ind w:firstLine="420" w:firstLineChars="200"/>
        <w:jc w:val="left"/>
        <w:rPr>
          <w:rFonts w:hint="eastAsia" w:asciiTheme="minorEastAsia" w:hAnsiTheme="minorEastAsia"/>
          <w:szCs w:val="21"/>
          <w:highlight w:val="none"/>
        </w:rPr>
      </w:pPr>
      <w:r>
        <w:rPr>
          <w:rFonts w:hint="eastAsia" w:asciiTheme="minorEastAsia" w:hAnsiTheme="minorEastAsia"/>
          <w:szCs w:val="21"/>
          <w:highlight w:val="none"/>
          <w:lang w:val="en-US" w:eastAsia="zh-CN"/>
        </w:rPr>
        <w:t>（二）</w:t>
      </w:r>
      <w:r>
        <w:rPr>
          <w:rFonts w:hint="eastAsia" w:asciiTheme="minorEastAsia" w:hAnsiTheme="minorEastAsia"/>
          <w:szCs w:val="21"/>
          <w:highlight w:val="none"/>
        </w:rPr>
        <w:t>标线工作量：</w:t>
      </w:r>
    </w:p>
    <w:tbl>
      <w:tblPr>
        <w:tblStyle w:val="17"/>
        <w:tblW w:w="92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3540"/>
        <w:gridCol w:w="1957"/>
        <w:gridCol w:w="1259"/>
        <w:gridCol w:w="1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780" w:type="dxa"/>
            <w:vAlign w:val="center"/>
          </w:tcPr>
          <w:p>
            <w:pPr>
              <w:jc w:val="center"/>
              <w:rPr>
                <w:rFonts w:hint="eastAsia"/>
                <w:vertAlign w:val="baseline"/>
                <w:lang w:eastAsia="zh-CN"/>
              </w:rPr>
            </w:pPr>
            <w:r>
              <w:rPr>
                <w:rFonts w:hint="eastAsia"/>
                <w:vertAlign w:val="baseline"/>
                <w:lang w:eastAsia="zh-CN"/>
              </w:rPr>
              <w:t>序号</w:t>
            </w:r>
          </w:p>
        </w:tc>
        <w:tc>
          <w:tcPr>
            <w:tcW w:w="3540" w:type="dxa"/>
            <w:vAlign w:val="center"/>
          </w:tcPr>
          <w:p>
            <w:pPr>
              <w:jc w:val="center"/>
              <w:rPr>
                <w:rFonts w:hint="eastAsia" w:eastAsiaTheme="minorEastAsia"/>
                <w:vertAlign w:val="baseline"/>
                <w:lang w:eastAsia="zh-CN"/>
              </w:rPr>
            </w:pPr>
            <w:r>
              <w:rPr>
                <w:rFonts w:hint="eastAsia"/>
                <w:vertAlign w:val="baseline"/>
                <w:lang w:eastAsia="zh-CN"/>
              </w:rPr>
              <w:t>结构类型</w:t>
            </w:r>
          </w:p>
        </w:tc>
        <w:tc>
          <w:tcPr>
            <w:tcW w:w="1957" w:type="dxa"/>
            <w:vAlign w:val="center"/>
          </w:tcPr>
          <w:p>
            <w:pPr>
              <w:jc w:val="center"/>
              <w:rPr>
                <w:rFonts w:hint="eastAsia" w:eastAsiaTheme="minorEastAsia"/>
                <w:vertAlign w:val="baseline"/>
                <w:lang w:eastAsia="zh-CN"/>
              </w:rPr>
            </w:pPr>
            <w:r>
              <w:rPr>
                <w:rFonts w:hint="eastAsia"/>
                <w:vertAlign w:val="baseline"/>
                <w:lang w:eastAsia="zh-CN"/>
              </w:rPr>
              <w:t>单位</w:t>
            </w:r>
          </w:p>
        </w:tc>
        <w:tc>
          <w:tcPr>
            <w:tcW w:w="1259" w:type="dxa"/>
            <w:vAlign w:val="center"/>
          </w:tcPr>
          <w:p>
            <w:pPr>
              <w:jc w:val="center"/>
              <w:rPr>
                <w:rFonts w:hint="eastAsia" w:eastAsiaTheme="minorEastAsia"/>
                <w:vertAlign w:val="baseline"/>
                <w:lang w:eastAsia="zh-CN"/>
              </w:rPr>
            </w:pPr>
            <w:r>
              <w:rPr>
                <w:rFonts w:hint="eastAsia"/>
                <w:vertAlign w:val="baseline"/>
                <w:lang w:eastAsia="zh-CN"/>
              </w:rPr>
              <w:t>数量</w:t>
            </w:r>
          </w:p>
        </w:tc>
        <w:tc>
          <w:tcPr>
            <w:tcW w:w="1747" w:type="dxa"/>
            <w:vAlign w:val="center"/>
          </w:tcPr>
          <w:p>
            <w:pPr>
              <w:jc w:val="center"/>
              <w:rPr>
                <w:rFonts w:hint="eastAsia"/>
                <w:vertAlign w:val="baseline"/>
                <w:lang w:eastAsia="zh-CN"/>
              </w:rPr>
            </w:pPr>
            <w:r>
              <w:rPr>
                <w:rFonts w:hint="eastAsia"/>
                <w:vertAlign w:val="baseline"/>
                <w:lang w:eastAsia="zh-CN"/>
              </w:rPr>
              <w:t>单价最高限价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780" w:type="dxa"/>
            <w:vAlign w:val="center"/>
          </w:tcPr>
          <w:p>
            <w:pPr>
              <w:jc w:val="center"/>
              <w:rPr>
                <w:rFonts w:hint="default"/>
                <w:vertAlign w:val="baseline"/>
                <w:lang w:val="en-US" w:eastAsia="zh-CN"/>
              </w:rPr>
            </w:pPr>
            <w:r>
              <w:rPr>
                <w:rFonts w:hint="eastAsia"/>
                <w:vertAlign w:val="baseline"/>
                <w:lang w:val="en-US" w:eastAsia="zh-CN"/>
              </w:rPr>
              <w:t>1</w:t>
            </w:r>
          </w:p>
        </w:tc>
        <w:tc>
          <w:tcPr>
            <w:tcW w:w="3540" w:type="dxa"/>
            <w:vAlign w:val="center"/>
          </w:tcPr>
          <w:p>
            <w:pPr>
              <w:jc w:val="center"/>
              <w:rPr>
                <w:rFonts w:hint="eastAsia" w:eastAsiaTheme="minorEastAsia"/>
                <w:vertAlign w:val="baseline"/>
                <w:lang w:val="en-US" w:eastAsia="zh-CN"/>
              </w:rPr>
            </w:pPr>
            <w:r>
              <w:rPr>
                <w:rFonts w:hint="eastAsia"/>
                <w:vertAlign w:val="baseline"/>
                <w:lang w:val="en-US" w:eastAsia="zh-CN"/>
              </w:rPr>
              <w:t>黄色标线、白色纵向标线、地面标记、导向箭头、人行横道线、导流线等标线</w:t>
            </w:r>
          </w:p>
        </w:tc>
        <w:tc>
          <w:tcPr>
            <w:tcW w:w="1957" w:type="dxa"/>
            <w:vAlign w:val="center"/>
          </w:tcPr>
          <w:p>
            <w:pPr>
              <w:jc w:val="center"/>
              <w:rPr>
                <w:vertAlign w:val="baseline"/>
              </w:rPr>
            </w:pPr>
            <w:r>
              <w:rPr>
                <w:rFonts w:hint="eastAsia"/>
                <w:vertAlign w:val="baseline"/>
                <w:lang w:eastAsia="zh-CN"/>
              </w:rPr>
              <w:t>㎡</w:t>
            </w:r>
          </w:p>
        </w:tc>
        <w:tc>
          <w:tcPr>
            <w:tcW w:w="1259" w:type="dxa"/>
            <w:vAlign w:val="center"/>
          </w:tcPr>
          <w:p>
            <w:pPr>
              <w:jc w:val="center"/>
              <w:rPr>
                <w:vertAlign w:val="baseline"/>
              </w:rPr>
            </w:pPr>
            <w:r>
              <w:rPr>
                <w:rFonts w:hint="eastAsia"/>
                <w:vertAlign w:val="baseline"/>
                <w:lang w:val="en-US" w:eastAsia="zh-CN"/>
              </w:rPr>
              <w:t>15000</w:t>
            </w:r>
          </w:p>
        </w:tc>
        <w:tc>
          <w:tcPr>
            <w:tcW w:w="1747" w:type="dxa"/>
            <w:vAlign w:val="center"/>
          </w:tcPr>
          <w:p>
            <w:pPr>
              <w:jc w:val="center"/>
              <w:rPr>
                <w:rFonts w:hint="default"/>
                <w:vertAlign w:val="baseline"/>
                <w:lang w:val="en-US" w:eastAsia="zh-CN"/>
              </w:rPr>
            </w:pPr>
            <w:r>
              <w:rPr>
                <w:rFonts w:hint="eastAsia"/>
                <w:vertAlign w:val="baseline"/>
                <w:lang w:val="en-US" w:eastAsia="zh-CN"/>
              </w:rPr>
              <w:t>48元/㎡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780" w:type="dxa"/>
            <w:vAlign w:val="center"/>
          </w:tcPr>
          <w:p>
            <w:pPr>
              <w:jc w:val="center"/>
              <w:rPr>
                <w:rFonts w:hint="default"/>
                <w:vertAlign w:val="baseline"/>
                <w:lang w:val="en-US" w:eastAsia="zh-CN"/>
              </w:rPr>
            </w:pPr>
            <w:r>
              <w:rPr>
                <w:rFonts w:hint="eastAsia"/>
                <w:vertAlign w:val="baseline"/>
                <w:lang w:val="en-US" w:eastAsia="zh-CN"/>
              </w:rPr>
              <w:t>2</w:t>
            </w:r>
          </w:p>
        </w:tc>
        <w:tc>
          <w:tcPr>
            <w:tcW w:w="3540" w:type="dxa"/>
            <w:vAlign w:val="center"/>
          </w:tcPr>
          <w:p>
            <w:pPr>
              <w:jc w:val="center"/>
              <w:rPr>
                <w:rFonts w:hint="eastAsia" w:eastAsiaTheme="minorEastAsia"/>
                <w:vertAlign w:val="baseline"/>
                <w:lang w:eastAsia="zh-CN"/>
              </w:rPr>
            </w:pPr>
            <w:r>
              <w:rPr>
                <w:rFonts w:hint="eastAsia"/>
                <w:vertAlign w:val="baseline"/>
                <w:lang w:eastAsia="zh-CN"/>
              </w:rPr>
              <w:t>震荡标线</w:t>
            </w:r>
          </w:p>
        </w:tc>
        <w:tc>
          <w:tcPr>
            <w:tcW w:w="1957" w:type="dxa"/>
            <w:vAlign w:val="center"/>
          </w:tcPr>
          <w:p>
            <w:pPr>
              <w:jc w:val="center"/>
              <w:rPr>
                <w:vertAlign w:val="baseline"/>
              </w:rPr>
            </w:pPr>
            <w:r>
              <w:rPr>
                <w:rFonts w:hint="eastAsia"/>
                <w:vertAlign w:val="baseline"/>
                <w:lang w:eastAsia="zh-CN"/>
              </w:rPr>
              <w:t>㎡</w:t>
            </w:r>
          </w:p>
        </w:tc>
        <w:tc>
          <w:tcPr>
            <w:tcW w:w="1259" w:type="dxa"/>
            <w:vAlign w:val="center"/>
          </w:tcPr>
          <w:p>
            <w:pPr>
              <w:jc w:val="center"/>
              <w:rPr>
                <w:vertAlign w:val="baseline"/>
              </w:rPr>
            </w:pPr>
            <w:r>
              <w:rPr>
                <w:rFonts w:hint="eastAsia"/>
                <w:vertAlign w:val="baseline"/>
                <w:lang w:val="en-US" w:eastAsia="zh-CN"/>
              </w:rPr>
              <w:t>330</w:t>
            </w:r>
          </w:p>
        </w:tc>
        <w:tc>
          <w:tcPr>
            <w:tcW w:w="1747" w:type="dxa"/>
            <w:vAlign w:val="center"/>
          </w:tcPr>
          <w:p>
            <w:pPr>
              <w:jc w:val="center"/>
              <w:rPr>
                <w:rFonts w:hint="default"/>
                <w:vertAlign w:val="baseline"/>
                <w:lang w:val="en-US" w:eastAsia="zh-CN"/>
              </w:rPr>
            </w:pPr>
            <w:r>
              <w:rPr>
                <w:rFonts w:hint="eastAsia"/>
                <w:vertAlign w:val="baseline"/>
                <w:lang w:val="en-US" w:eastAsia="zh-CN"/>
              </w:rPr>
              <w:t>120元/㎡</w:t>
            </w:r>
          </w:p>
        </w:tc>
      </w:tr>
    </w:tbl>
    <w:p>
      <w:pPr>
        <w:rPr>
          <w:rFonts w:hint="eastAsia" w:ascii="仿宋_GB2312" w:hAnsi="Courier New" w:eastAsia="仿宋_GB2312"/>
          <w:b/>
          <w:bCs/>
          <w:color w:val="000000"/>
          <w:szCs w:val="28"/>
          <w:lang w:eastAsia="zh-CN"/>
        </w:rPr>
      </w:pPr>
      <w:r>
        <w:rPr>
          <w:rFonts w:hint="eastAsia" w:ascii="仿宋_GB2312" w:hAnsi="Courier New" w:eastAsia="仿宋_GB2312"/>
          <w:b/>
          <w:bCs/>
          <w:color w:val="000000"/>
          <w:szCs w:val="28"/>
          <w:lang w:eastAsia="zh-CN"/>
        </w:rPr>
        <w:t>注：投标人所投报价不得超过单价最高限价。</w:t>
      </w:r>
    </w:p>
    <w:p>
      <w:pPr>
        <w:spacing w:line="360" w:lineRule="auto"/>
        <w:ind w:firstLine="420" w:firstLineChars="200"/>
        <w:jc w:val="left"/>
        <w:rPr>
          <w:rFonts w:hint="eastAsia" w:asciiTheme="minorEastAsia" w:hAnsiTheme="minorEastAsia"/>
          <w:szCs w:val="21"/>
          <w:highlight w:val="none"/>
          <w:lang w:val="en-GB"/>
        </w:rPr>
      </w:pPr>
      <w:r>
        <w:rPr>
          <w:rFonts w:hint="eastAsia" w:asciiTheme="minorEastAsia" w:hAnsiTheme="minorEastAsia"/>
          <w:szCs w:val="21"/>
          <w:highlight w:val="none"/>
          <w:lang w:val="en-GB" w:eastAsia="zh-CN"/>
        </w:rPr>
        <w:t>二、</w:t>
      </w:r>
      <w:r>
        <w:rPr>
          <w:rFonts w:hint="eastAsia" w:asciiTheme="minorEastAsia" w:hAnsiTheme="minorEastAsia"/>
          <w:szCs w:val="21"/>
          <w:highlight w:val="none"/>
          <w:lang w:val="en-GB"/>
        </w:rPr>
        <w:t>道路热熔标线涂料标准：</w:t>
      </w:r>
    </w:p>
    <w:p>
      <w:pPr>
        <w:spacing w:line="360" w:lineRule="auto"/>
        <w:ind w:firstLine="420" w:firstLineChars="200"/>
        <w:jc w:val="left"/>
        <w:rPr>
          <w:rFonts w:hint="eastAsia" w:asciiTheme="minorEastAsia" w:hAnsiTheme="minorEastAsia"/>
          <w:szCs w:val="21"/>
          <w:highlight w:val="none"/>
          <w:lang w:val="en-GB"/>
        </w:rPr>
      </w:pPr>
      <w:r>
        <w:rPr>
          <w:rFonts w:hint="eastAsia" w:asciiTheme="minorEastAsia" w:hAnsiTheme="minorEastAsia"/>
          <w:szCs w:val="21"/>
          <w:highlight w:val="none"/>
          <w:lang w:val="en-GB" w:eastAsia="zh-CN"/>
        </w:rPr>
        <w:t>（一）</w:t>
      </w:r>
      <w:r>
        <w:rPr>
          <w:rFonts w:hint="eastAsia" w:asciiTheme="minorEastAsia" w:hAnsiTheme="minorEastAsia"/>
          <w:szCs w:val="21"/>
          <w:highlight w:val="none"/>
          <w:lang w:val="en-GB"/>
        </w:rPr>
        <w:t xml:space="preserve">必须符合中华人民共和国公共安全行业标准“GA/T298—2001《道路标线涂料》”及交通行业标准“JT/T280—1995《道路标线涂料》”及交通部《公路交通安全设施技术规范》的规范要求，具体指标要求如下： </w:t>
      </w:r>
    </w:p>
    <w:tbl>
      <w:tblPr>
        <w:tblStyle w:val="16"/>
        <w:tblW w:w="9118" w:type="dxa"/>
        <w:tblInd w:w="0" w:type="dxa"/>
        <w:tblLayout w:type="fixed"/>
        <w:tblCellMar>
          <w:top w:w="15" w:type="dxa"/>
          <w:left w:w="15" w:type="dxa"/>
          <w:bottom w:w="15" w:type="dxa"/>
          <w:right w:w="15" w:type="dxa"/>
        </w:tblCellMar>
      </w:tblPr>
      <w:tblGrid>
        <w:gridCol w:w="509"/>
        <w:gridCol w:w="809"/>
        <w:gridCol w:w="1079"/>
        <w:gridCol w:w="1425"/>
        <w:gridCol w:w="5296"/>
      </w:tblGrid>
      <w:tr>
        <w:tblPrEx>
          <w:tblCellMar>
            <w:top w:w="15" w:type="dxa"/>
            <w:left w:w="15" w:type="dxa"/>
            <w:bottom w:w="15" w:type="dxa"/>
            <w:right w:w="15" w:type="dxa"/>
          </w:tblCellMar>
        </w:tblPrEx>
        <w:trPr>
          <w:trHeight w:val="475" w:hRule="atLeast"/>
        </w:trPr>
        <w:tc>
          <w:tcPr>
            <w:tcW w:w="3822" w:type="dxa"/>
            <w:gridSpan w:val="4"/>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检测项目</w:t>
            </w:r>
          </w:p>
        </w:tc>
        <w:tc>
          <w:tcPr>
            <w:tcW w:w="5296" w:type="dxa"/>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技术要求</w:t>
            </w:r>
          </w:p>
        </w:tc>
      </w:tr>
      <w:tr>
        <w:tblPrEx>
          <w:tblCellMar>
            <w:top w:w="15" w:type="dxa"/>
            <w:left w:w="15" w:type="dxa"/>
            <w:bottom w:w="15" w:type="dxa"/>
            <w:right w:w="15" w:type="dxa"/>
          </w:tblCellMar>
        </w:tblPrEx>
        <w:trPr>
          <w:trHeight w:val="527" w:hRule="atLeast"/>
        </w:trPr>
        <w:tc>
          <w:tcPr>
            <w:tcW w:w="509" w:type="dxa"/>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1</w:t>
            </w:r>
          </w:p>
        </w:tc>
        <w:tc>
          <w:tcPr>
            <w:tcW w:w="3313" w:type="dxa"/>
            <w:gridSpan w:val="3"/>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密度（g/cm3）</w:t>
            </w:r>
          </w:p>
        </w:tc>
        <w:tc>
          <w:tcPr>
            <w:tcW w:w="5296" w:type="dxa"/>
            <w:tcBorders>
              <w:top w:val="single" w:color="000000" w:sz="4" w:space="0"/>
              <w:left w:val="single" w:color="000000" w:sz="4" w:space="0"/>
              <w:bottom w:val="single" w:color="000000" w:sz="4" w:space="0"/>
              <w:right w:val="single" w:color="000000" w:sz="4" w:space="0"/>
            </w:tcBorders>
            <w:noWrap w:val="0"/>
            <w:vAlign w:val="center"/>
          </w:tcPr>
          <w:p>
            <w:pPr>
              <w:pStyle w:val="41"/>
              <w:rPr>
                <w:rFonts w:hint="eastAsia" w:ascii="宋体" w:hAnsi="宋体" w:eastAsia="宋体" w:cs="宋体"/>
                <w:sz w:val="21"/>
                <w:szCs w:val="21"/>
              </w:rPr>
            </w:pPr>
            <w:r>
              <w:rPr>
                <w:rFonts w:hint="eastAsia" w:ascii="宋体" w:hAnsi="宋体" w:eastAsia="宋体" w:cs="宋体"/>
                <w:sz w:val="21"/>
                <w:szCs w:val="21"/>
              </w:rPr>
              <w:t>1.8—2.3</w:t>
            </w:r>
          </w:p>
        </w:tc>
      </w:tr>
      <w:tr>
        <w:tblPrEx>
          <w:tblCellMar>
            <w:top w:w="15" w:type="dxa"/>
            <w:left w:w="15" w:type="dxa"/>
            <w:bottom w:w="15" w:type="dxa"/>
            <w:right w:w="15" w:type="dxa"/>
          </w:tblCellMar>
        </w:tblPrEx>
        <w:trPr>
          <w:trHeight w:val="690" w:hRule="atLeast"/>
        </w:trPr>
        <w:tc>
          <w:tcPr>
            <w:tcW w:w="509" w:type="dxa"/>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2</w:t>
            </w:r>
          </w:p>
        </w:tc>
        <w:tc>
          <w:tcPr>
            <w:tcW w:w="3313" w:type="dxa"/>
            <w:gridSpan w:val="3"/>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软化点(℃)</w:t>
            </w:r>
          </w:p>
        </w:tc>
        <w:tc>
          <w:tcPr>
            <w:tcW w:w="5296" w:type="dxa"/>
            <w:tcBorders>
              <w:top w:val="single" w:color="000000" w:sz="4" w:space="0"/>
              <w:left w:val="single" w:color="000000" w:sz="4" w:space="0"/>
              <w:bottom w:val="single" w:color="000000" w:sz="4" w:space="0"/>
              <w:right w:val="single" w:color="000000" w:sz="4" w:space="0"/>
            </w:tcBorders>
            <w:noWrap w:val="0"/>
            <w:vAlign w:val="center"/>
          </w:tcPr>
          <w:p>
            <w:pPr>
              <w:pStyle w:val="41"/>
              <w:rPr>
                <w:rFonts w:hint="eastAsia" w:ascii="宋体" w:hAnsi="宋体" w:eastAsia="宋体" w:cs="宋体"/>
                <w:sz w:val="21"/>
                <w:szCs w:val="21"/>
              </w:rPr>
            </w:pPr>
            <w:r>
              <w:rPr>
                <w:rFonts w:hint="eastAsia" w:ascii="宋体" w:hAnsi="宋体" w:eastAsia="宋体" w:cs="宋体"/>
                <w:sz w:val="21"/>
                <w:szCs w:val="21"/>
              </w:rPr>
              <w:t>90—125</w:t>
            </w:r>
          </w:p>
        </w:tc>
      </w:tr>
      <w:tr>
        <w:tblPrEx>
          <w:tblCellMar>
            <w:top w:w="15" w:type="dxa"/>
            <w:left w:w="15" w:type="dxa"/>
            <w:bottom w:w="15" w:type="dxa"/>
            <w:right w:w="15" w:type="dxa"/>
          </w:tblCellMar>
        </w:tblPrEx>
        <w:trPr>
          <w:trHeight w:val="547" w:hRule="atLeast"/>
        </w:trPr>
        <w:tc>
          <w:tcPr>
            <w:tcW w:w="509" w:type="dxa"/>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3</w:t>
            </w:r>
          </w:p>
        </w:tc>
        <w:tc>
          <w:tcPr>
            <w:tcW w:w="3313" w:type="dxa"/>
            <w:gridSpan w:val="3"/>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不粘胎干燥时间(min)</w:t>
            </w:r>
          </w:p>
        </w:tc>
        <w:tc>
          <w:tcPr>
            <w:tcW w:w="5296" w:type="dxa"/>
            <w:tcBorders>
              <w:top w:val="single" w:color="000000" w:sz="4" w:space="0"/>
              <w:left w:val="single" w:color="000000" w:sz="4" w:space="0"/>
              <w:bottom w:val="single" w:color="000000" w:sz="4" w:space="0"/>
              <w:right w:val="single" w:color="000000" w:sz="4" w:space="0"/>
            </w:tcBorders>
            <w:noWrap w:val="0"/>
            <w:vAlign w:val="center"/>
          </w:tcPr>
          <w:p>
            <w:pPr>
              <w:pStyle w:val="41"/>
              <w:rPr>
                <w:rFonts w:hint="eastAsia" w:ascii="宋体" w:hAnsi="宋体" w:eastAsia="宋体" w:cs="宋体"/>
                <w:sz w:val="21"/>
                <w:szCs w:val="21"/>
              </w:rPr>
            </w:pPr>
            <w:r>
              <w:rPr>
                <w:rFonts w:hint="eastAsia" w:ascii="宋体" w:hAnsi="宋体" w:eastAsia="宋体" w:cs="宋体"/>
                <w:sz w:val="21"/>
                <w:szCs w:val="21"/>
              </w:rPr>
              <w:t>≤3</w:t>
            </w:r>
          </w:p>
        </w:tc>
      </w:tr>
      <w:tr>
        <w:tblPrEx>
          <w:tblCellMar>
            <w:top w:w="15" w:type="dxa"/>
            <w:left w:w="15" w:type="dxa"/>
            <w:bottom w:w="15" w:type="dxa"/>
            <w:right w:w="15" w:type="dxa"/>
          </w:tblCellMar>
        </w:tblPrEx>
        <w:trPr>
          <w:trHeight w:val="845" w:hRule="atLeast"/>
        </w:trPr>
        <w:tc>
          <w:tcPr>
            <w:tcW w:w="509" w:type="dxa"/>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4</w:t>
            </w:r>
          </w:p>
        </w:tc>
        <w:tc>
          <w:tcPr>
            <w:tcW w:w="3313" w:type="dxa"/>
            <w:gridSpan w:val="3"/>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涂膜颜色与外观</w:t>
            </w:r>
          </w:p>
        </w:tc>
        <w:tc>
          <w:tcPr>
            <w:tcW w:w="5296" w:type="dxa"/>
            <w:tcBorders>
              <w:top w:val="single" w:color="000000" w:sz="4" w:space="0"/>
              <w:left w:val="single" w:color="000000" w:sz="4" w:space="0"/>
              <w:bottom w:val="single" w:color="000000" w:sz="4" w:space="0"/>
              <w:right w:val="single" w:color="000000" w:sz="4" w:space="0"/>
            </w:tcBorders>
            <w:noWrap w:val="0"/>
            <w:vAlign w:val="center"/>
          </w:tcPr>
          <w:p>
            <w:pPr>
              <w:pStyle w:val="41"/>
              <w:spacing w:line="400" w:lineRule="exact"/>
              <w:rPr>
                <w:rFonts w:hint="eastAsia" w:ascii="宋体" w:hAnsi="宋体" w:eastAsia="宋体" w:cs="宋体"/>
                <w:sz w:val="21"/>
                <w:szCs w:val="21"/>
              </w:rPr>
            </w:pPr>
            <w:r>
              <w:rPr>
                <w:rFonts w:hint="eastAsia" w:ascii="宋体" w:hAnsi="宋体" w:eastAsia="宋体" w:cs="宋体"/>
                <w:sz w:val="21"/>
                <w:szCs w:val="21"/>
              </w:rPr>
              <w:t>涂膜冷凝后应无皱纹、斑点、起泡、裂纹、脱落及表面发粘等现象，涂膜颜色和外观应与标准板差异不大。</w:t>
            </w:r>
          </w:p>
        </w:tc>
      </w:tr>
      <w:tr>
        <w:tblPrEx>
          <w:tblCellMar>
            <w:top w:w="15" w:type="dxa"/>
            <w:left w:w="15" w:type="dxa"/>
            <w:bottom w:w="15" w:type="dxa"/>
            <w:right w:w="15" w:type="dxa"/>
          </w:tblCellMar>
        </w:tblPrEx>
        <w:trPr>
          <w:trHeight w:val="690" w:hRule="atLeast"/>
        </w:trPr>
        <w:tc>
          <w:tcPr>
            <w:tcW w:w="509" w:type="dxa"/>
            <w:vMerge w:val="restart"/>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5</w:t>
            </w:r>
          </w:p>
        </w:tc>
        <w:tc>
          <w:tcPr>
            <w:tcW w:w="809" w:type="dxa"/>
            <w:vMerge w:val="restart"/>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色度性能</w:t>
            </w:r>
          </w:p>
        </w:tc>
        <w:tc>
          <w:tcPr>
            <w:tcW w:w="1079" w:type="dxa"/>
            <w:vMerge w:val="restart"/>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白色</w:t>
            </w:r>
          </w:p>
        </w:tc>
        <w:tc>
          <w:tcPr>
            <w:tcW w:w="1425" w:type="dxa"/>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色品坐标</w:t>
            </w:r>
          </w:p>
        </w:tc>
        <w:tc>
          <w:tcPr>
            <w:tcW w:w="5296" w:type="dxa"/>
            <w:tcBorders>
              <w:top w:val="single" w:color="000000" w:sz="4" w:space="0"/>
              <w:left w:val="single" w:color="000000" w:sz="4" w:space="0"/>
              <w:bottom w:val="single" w:color="000000" w:sz="4" w:space="0"/>
              <w:right w:val="single" w:color="000000" w:sz="4" w:space="0"/>
            </w:tcBorders>
            <w:noWrap w:val="0"/>
            <w:vAlign w:val="center"/>
          </w:tcPr>
          <w:p>
            <w:pPr>
              <w:pStyle w:val="41"/>
              <w:rPr>
                <w:rFonts w:hint="eastAsia" w:ascii="宋体" w:hAnsi="宋体" w:eastAsia="宋体" w:cs="宋体"/>
                <w:sz w:val="21"/>
                <w:szCs w:val="21"/>
              </w:rPr>
            </w:pPr>
            <w:r>
              <w:rPr>
                <w:rFonts w:hint="eastAsia" w:ascii="宋体" w:hAnsi="宋体" w:eastAsia="宋体" w:cs="宋体"/>
                <w:sz w:val="21"/>
                <w:szCs w:val="21"/>
              </w:rPr>
              <w:t>在以下四角点色品坐标组成的四边形内</w:t>
            </w:r>
          </w:p>
        </w:tc>
      </w:tr>
      <w:tr>
        <w:tblPrEx>
          <w:tblCellMar>
            <w:top w:w="15" w:type="dxa"/>
            <w:left w:w="15" w:type="dxa"/>
            <w:bottom w:w="15" w:type="dxa"/>
            <w:right w:w="15" w:type="dxa"/>
          </w:tblCellMar>
        </w:tblPrEx>
        <w:trPr>
          <w:trHeight w:val="690" w:hRule="atLeast"/>
        </w:trPr>
        <w:tc>
          <w:tcPr>
            <w:tcW w:w="509" w:type="dxa"/>
            <w:vMerge w:val="continue"/>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p>
        </w:tc>
        <w:tc>
          <w:tcPr>
            <w:tcW w:w="809" w:type="dxa"/>
            <w:vMerge w:val="continue"/>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p>
        </w:tc>
        <w:tc>
          <w:tcPr>
            <w:tcW w:w="1079" w:type="dxa"/>
            <w:vMerge w:val="continue"/>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p>
        </w:tc>
        <w:tc>
          <w:tcPr>
            <w:tcW w:w="1425" w:type="dxa"/>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(x,y)</w:t>
            </w:r>
          </w:p>
        </w:tc>
        <w:tc>
          <w:tcPr>
            <w:tcW w:w="5296" w:type="dxa"/>
            <w:tcBorders>
              <w:top w:val="single" w:color="000000" w:sz="4" w:space="0"/>
              <w:left w:val="single" w:color="000000" w:sz="4" w:space="0"/>
              <w:bottom w:val="single" w:color="000000" w:sz="4" w:space="0"/>
              <w:right w:val="single" w:color="000000" w:sz="4" w:space="0"/>
            </w:tcBorders>
            <w:noWrap w:val="0"/>
            <w:vAlign w:val="center"/>
          </w:tcPr>
          <w:p>
            <w:pPr>
              <w:pStyle w:val="41"/>
              <w:rPr>
                <w:rFonts w:hint="eastAsia" w:ascii="宋体" w:hAnsi="宋体" w:eastAsia="宋体" w:cs="宋体"/>
                <w:sz w:val="21"/>
                <w:szCs w:val="21"/>
              </w:rPr>
            </w:pPr>
            <w:r>
              <w:rPr>
                <w:rFonts w:hint="eastAsia" w:ascii="宋体" w:hAnsi="宋体" w:eastAsia="宋体" w:cs="宋体"/>
                <w:sz w:val="21"/>
                <w:szCs w:val="21"/>
              </w:rPr>
              <w:t>（0.350，0.360）；（0.300，0.310）；</w:t>
            </w:r>
          </w:p>
          <w:p>
            <w:pPr>
              <w:pStyle w:val="41"/>
              <w:rPr>
                <w:rFonts w:hint="eastAsia" w:ascii="宋体" w:hAnsi="宋体" w:eastAsia="宋体" w:cs="宋体"/>
                <w:sz w:val="21"/>
                <w:szCs w:val="21"/>
              </w:rPr>
            </w:pPr>
            <w:r>
              <w:rPr>
                <w:rFonts w:hint="eastAsia" w:ascii="宋体" w:hAnsi="宋体" w:eastAsia="宋体" w:cs="宋体"/>
                <w:sz w:val="21"/>
                <w:szCs w:val="21"/>
              </w:rPr>
              <w:t>（0.290，0.320）；（0.340，0.370）</w:t>
            </w:r>
          </w:p>
        </w:tc>
      </w:tr>
      <w:tr>
        <w:tblPrEx>
          <w:tblCellMar>
            <w:top w:w="15" w:type="dxa"/>
            <w:left w:w="15" w:type="dxa"/>
            <w:bottom w:w="15" w:type="dxa"/>
            <w:right w:w="15" w:type="dxa"/>
          </w:tblCellMar>
        </w:tblPrEx>
        <w:trPr>
          <w:trHeight w:val="690" w:hRule="atLeast"/>
        </w:trPr>
        <w:tc>
          <w:tcPr>
            <w:tcW w:w="509" w:type="dxa"/>
            <w:vMerge w:val="continue"/>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p>
        </w:tc>
        <w:tc>
          <w:tcPr>
            <w:tcW w:w="809" w:type="dxa"/>
            <w:vMerge w:val="continue"/>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p>
        </w:tc>
        <w:tc>
          <w:tcPr>
            <w:tcW w:w="1079" w:type="dxa"/>
            <w:vMerge w:val="continue"/>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p>
        </w:tc>
        <w:tc>
          <w:tcPr>
            <w:tcW w:w="1425" w:type="dxa"/>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亮度因数</w:t>
            </w:r>
          </w:p>
        </w:tc>
        <w:tc>
          <w:tcPr>
            <w:tcW w:w="5296" w:type="dxa"/>
            <w:tcBorders>
              <w:top w:val="single" w:color="000000" w:sz="4" w:space="0"/>
              <w:left w:val="single" w:color="000000" w:sz="4" w:space="0"/>
              <w:bottom w:val="single" w:color="000000" w:sz="4" w:space="0"/>
              <w:right w:val="single" w:color="000000" w:sz="4" w:space="0"/>
            </w:tcBorders>
            <w:noWrap w:val="0"/>
            <w:vAlign w:val="center"/>
          </w:tcPr>
          <w:p>
            <w:pPr>
              <w:pStyle w:val="41"/>
              <w:rPr>
                <w:rFonts w:hint="eastAsia" w:ascii="宋体" w:hAnsi="宋体" w:eastAsia="宋体" w:cs="宋体"/>
                <w:sz w:val="21"/>
                <w:szCs w:val="21"/>
              </w:rPr>
            </w:pPr>
            <w:r>
              <w:rPr>
                <w:rFonts w:hint="eastAsia" w:ascii="宋体" w:hAnsi="宋体" w:eastAsia="宋体" w:cs="宋体"/>
                <w:sz w:val="21"/>
                <w:szCs w:val="21"/>
              </w:rPr>
              <w:t>≥0.35</w:t>
            </w:r>
          </w:p>
        </w:tc>
      </w:tr>
      <w:tr>
        <w:tblPrEx>
          <w:tblCellMar>
            <w:top w:w="15" w:type="dxa"/>
            <w:left w:w="15" w:type="dxa"/>
            <w:bottom w:w="15" w:type="dxa"/>
            <w:right w:w="15" w:type="dxa"/>
          </w:tblCellMar>
        </w:tblPrEx>
        <w:trPr>
          <w:trHeight w:val="690" w:hRule="atLeast"/>
        </w:trPr>
        <w:tc>
          <w:tcPr>
            <w:tcW w:w="509" w:type="dxa"/>
            <w:vMerge w:val="continue"/>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p>
        </w:tc>
        <w:tc>
          <w:tcPr>
            <w:tcW w:w="809" w:type="dxa"/>
            <w:vMerge w:val="continue"/>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p>
        </w:tc>
        <w:tc>
          <w:tcPr>
            <w:tcW w:w="1079" w:type="dxa"/>
            <w:vMerge w:val="restart"/>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黄色</w:t>
            </w:r>
          </w:p>
        </w:tc>
        <w:tc>
          <w:tcPr>
            <w:tcW w:w="1425" w:type="dxa"/>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色品坐标</w:t>
            </w:r>
          </w:p>
        </w:tc>
        <w:tc>
          <w:tcPr>
            <w:tcW w:w="5296" w:type="dxa"/>
            <w:tcBorders>
              <w:top w:val="single" w:color="000000" w:sz="4" w:space="0"/>
              <w:left w:val="single" w:color="000000" w:sz="4" w:space="0"/>
              <w:bottom w:val="single" w:color="000000" w:sz="4" w:space="0"/>
              <w:right w:val="single" w:color="000000" w:sz="4" w:space="0"/>
            </w:tcBorders>
            <w:noWrap w:val="0"/>
            <w:vAlign w:val="center"/>
          </w:tcPr>
          <w:p>
            <w:pPr>
              <w:pStyle w:val="41"/>
              <w:rPr>
                <w:rFonts w:hint="eastAsia" w:ascii="宋体" w:hAnsi="宋体" w:eastAsia="宋体" w:cs="宋体"/>
                <w:sz w:val="21"/>
                <w:szCs w:val="21"/>
              </w:rPr>
            </w:pPr>
            <w:r>
              <w:rPr>
                <w:rFonts w:hint="eastAsia" w:ascii="宋体" w:hAnsi="宋体" w:eastAsia="宋体" w:cs="宋体"/>
                <w:sz w:val="21"/>
                <w:szCs w:val="21"/>
              </w:rPr>
              <w:t>在以下四角点色品坐标组成的四边形内</w:t>
            </w:r>
          </w:p>
        </w:tc>
      </w:tr>
      <w:tr>
        <w:tblPrEx>
          <w:tblCellMar>
            <w:top w:w="15" w:type="dxa"/>
            <w:left w:w="15" w:type="dxa"/>
            <w:bottom w:w="15" w:type="dxa"/>
            <w:right w:w="15" w:type="dxa"/>
          </w:tblCellMar>
        </w:tblPrEx>
        <w:trPr>
          <w:trHeight w:val="690" w:hRule="atLeast"/>
        </w:trPr>
        <w:tc>
          <w:tcPr>
            <w:tcW w:w="509" w:type="dxa"/>
            <w:vMerge w:val="continue"/>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p>
        </w:tc>
        <w:tc>
          <w:tcPr>
            <w:tcW w:w="809" w:type="dxa"/>
            <w:vMerge w:val="continue"/>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p>
        </w:tc>
        <w:tc>
          <w:tcPr>
            <w:tcW w:w="1079" w:type="dxa"/>
            <w:vMerge w:val="continue"/>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p>
        </w:tc>
        <w:tc>
          <w:tcPr>
            <w:tcW w:w="1425" w:type="dxa"/>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(x,y)</w:t>
            </w:r>
          </w:p>
        </w:tc>
        <w:tc>
          <w:tcPr>
            <w:tcW w:w="5296" w:type="dxa"/>
            <w:tcBorders>
              <w:top w:val="single" w:color="000000" w:sz="4" w:space="0"/>
              <w:left w:val="single" w:color="000000" w:sz="4" w:space="0"/>
              <w:bottom w:val="single" w:color="000000" w:sz="4" w:space="0"/>
              <w:right w:val="single" w:color="000000" w:sz="4" w:space="0"/>
            </w:tcBorders>
            <w:noWrap w:val="0"/>
            <w:vAlign w:val="center"/>
          </w:tcPr>
          <w:p>
            <w:pPr>
              <w:pStyle w:val="41"/>
              <w:rPr>
                <w:rFonts w:hint="eastAsia" w:ascii="宋体" w:hAnsi="宋体" w:eastAsia="宋体" w:cs="宋体"/>
                <w:sz w:val="21"/>
                <w:szCs w:val="21"/>
              </w:rPr>
            </w:pPr>
            <w:r>
              <w:rPr>
                <w:rFonts w:hint="eastAsia" w:ascii="宋体" w:hAnsi="宋体" w:eastAsia="宋体" w:cs="宋体"/>
                <w:sz w:val="21"/>
                <w:szCs w:val="21"/>
              </w:rPr>
              <w:t>（0.545，0.454）；（0.487，0.423）；</w:t>
            </w:r>
          </w:p>
          <w:p>
            <w:pPr>
              <w:pStyle w:val="41"/>
              <w:rPr>
                <w:rFonts w:hint="eastAsia" w:ascii="宋体" w:hAnsi="宋体" w:eastAsia="宋体" w:cs="宋体"/>
                <w:sz w:val="21"/>
                <w:szCs w:val="21"/>
              </w:rPr>
            </w:pPr>
            <w:r>
              <w:rPr>
                <w:rFonts w:hint="eastAsia" w:ascii="宋体" w:hAnsi="宋体" w:eastAsia="宋体" w:cs="宋体"/>
                <w:sz w:val="21"/>
                <w:szCs w:val="21"/>
              </w:rPr>
              <w:t>（0.427，0.483）；（0.465，0.534）</w:t>
            </w:r>
          </w:p>
        </w:tc>
      </w:tr>
      <w:tr>
        <w:tblPrEx>
          <w:tblCellMar>
            <w:top w:w="15" w:type="dxa"/>
            <w:left w:w="15" w:type="dxa"/>
            <w:bottom w:w="15" w:type="dxa"/>
            <w:right w:w="15" w:type="dxa"/>
          </w:tblCellMar>
        </w:tblPrEx>
        <w:trPr>
          <w:trHeight w:val="532" w:hRule="atLeast"/>
        </w:trPr>
        <w:tc>
          <w:tcPr>
            <w:tcW w:w="509" w:type="dxa"/>
            <w:vMerge w:val="continue"/>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p>
        </w:tc>
        <w:tc>
          <w:tcPr>
            <w:tcW w:w="809" w:type="dxa"/>
            <w:vMerge w:val="continue"/>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p>
        </w:tc>
        <w:tc>
          <w:tcPr>
            <w:tcW w:w="1079" w:type="dxa"/>
            <w:vMerge w:val="continue"/>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p>
        </w:tc>
        <w:tc>
          <w:tcPr>
            <w:tcW w:w="1425" w:type="dxa"/>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亮度因数</w:t>
            </w:r>
          </w:p>
        </w:tc>
        <w:tc>
          <w:tcPr>
            <w:tcW w:w="5296" w:type="dxa"/>
            <w:tcBorders>
              <w:top w:val="single" w:color="000000" w:sz="4" w:space="0"/>
              <w:left w:val="single" w:color="000000" w:sz="4" w:space="0"/>
              <w:bottom w:val="single" w:color="000000" w:sz="4" w:space="0"/>
              <w:right w:val="single" w:color="000000" w:sz="4" w:space="0"/>
            </w:tcBorders>
            <w:noWrap w:val="0"/>
            <w:vAlign w:val="center"/>
          </w:tcPr>
          <w:p>
            <w:pPr>
              <w:pStyle w:val="41"/>
              <w:rPr>
                <w:rFonts w:hint="eastAsia" w:ascii="宋体" w:hAnsi="宋体" w:eastAsia="宋体" w:cs="宋体"/>
                <w:sz w:val="21"/>
                <w:szCs w:val="21"/>
              </w:rPr>
            </w:pPr>
            <w:r>
              <w:rPr>
                <w:rFonts w:hint="eastAsia" w:ascii="宋体" w:hAnsi="宋体" w:eastAsia="宋体" w:cs="宋体"/>
                <w:sz w:val="21"/>
                <w:szCs w:val="21"/>
              </w:rPr>
              <w:t>≥0.27</w:t>
            </w:r>
          </w:p>
        </w:tc>
      </w:tr>
      <w:tr>
        <w:tblPrEx>
          <w:tblCellMar>
            <w:top w:w="15" w:type="dxa"/>
            <w:left w:w="15" w:type="dxa"/>
            <w:bottom w:w="15" w:type="dxa"/>
            <w:right w:w="15" w:type="dxa"/>
          </w:tblCellMar>
        </w:tblPrEx>
        <w:trPr>
          <w:trHeight w:val="569" w:hRule="atLeast"/>
        </w:trPr>
        <w:tc>
          <w:tcPr>
            <w:tcW w:w="509" w:type="dxa"/>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6</w:t>
            </w:r>
          </w:p>
        </w:tc>
        <w:tc>
          <w:tcPr>
            <w:tcW w:w="3313" w:type="dxa"/>
            <w:gridSpan w:val="3"/>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抗压强度(MPa)</w:t>
            </w:r>
          </w:p>
        </w:tc>
        <w:tc>
          <w:tcPr>
            <w:tcW w:w="5296" w:type="dxa"/>
            <w:tcBorders>
              <w:top w:val="single" w:color="000000" w:sz="4" w:space="0"/>
              <w:left w:val="single" w:color="000000" w:sz="4" w:space="0"/>
              <w:bottom w:val="single" w:color="000000" w:sz="4" w:space="0"/>
              <w:right w:val="single" w:color="000000" w:sz="4" w:space="0"/>
            </w:tcBorders>
            <w:noWrap w:val="0"/>
            <w:vAlign w:val="center"/>
          </w:tcPr>
          <w:p>
            <w:pPr>
              <w:pStyle w:val="41"/>
              <w:rPr>
                <w:rFonts w:hint="eastAsia" w:ascii="宋体" w:hAnsi="宋体" w:eastAsia="宋体" w:cs="宋体"/>
                <w:sz w:val="21"/>
                <w:szCs w:val="21"/>
              </w:rPr>
            </w:pPr>
            <w:r>
              <w:rPr>
                <w:rFonts w:hint="eastAsia" w:ascii="宋体" w:hAnsi="宋体" w:eastAsia="宋体" w:cs="宋体"/>
                <w:sz w:val="21"/>
                <w:szCs w:val="21"/>
              </w:rPr>
              <w:t>≥12</w:t>
            </w:r>
          </w:p>
        </w:tc>
      </w:tr>
      <w:tr>
        <w:tblPrEx>
          <w:tblCellMar>
            <w:top w:w="15" w:type="dxa"/>
            <w:left w:w="15" w:type="dxa"/>
            <w:bottom w:w="15" w:type="dxa"/>
            <w:right w:w="15" w:type="dxa"/>
          </w:tblCellMar>
        </w:tblPrEx>
        <w:trPr>
          <w:trHeight w:val="480" w:hRule="atLeast"/>
        </w:trPr>
        <w:tc>
          <w:tcPr>
            <w:tcW w:w="509" w:type="dxa"/>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7</w:t>
            </w:r>
          </w:p>
        </w:tc>
        <w:tc>
          <w:tcPr>
            <w:tcW w:w="3313" w:type="dxa"/>
            <w:gridSpan w:val="3"/>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耐磨性(mg)</w:t>
            </w:r>
          </w:p>
        </w:tc>
        <w:tc>
          <w:tcPr>
            <w:tcW w:w="5296" w:type="dxa"/>
            <w:tcBorders>
              <w:top w:val="single" w:color="000000" w:sz="4" w:space="0"/>
              <w:left w:val="single" w:color="000000" w:sz="4" w:space="0"/>
              <w:bottom w:val="single" w:color="000000" w:sz="4" w:space="0"/>
              <w:right w:val="single" w:color="000000" w:sz="4" w:space="0"/>
            </w:tcBorders>
            <w:noWrap w:val="0"/>
            <w:vAlign w:val="center"/>
          </w:tcPr>
          <w:p>
            <w:pPr>
              <w:pStyle w:val="41"/>
              <w:rPr>
                <w:rFonts w:hint="eastAsia" w:ascii="宋体" w:hAnsi="宋体" w:eastAsia="宋体" w:cs="宋体"/>
                <w:sz w:val="21"/>
                <w:szCs w:val="21"/>
              </w:rPr>
            </w:pPr>
            <w:r>
              <w:rPr>
                <w:rFonts w:hint="eastAsia" w:ascii="宋体" w:hAnsi="宋体" w:eastAsia="宋体" w:cs="宋体"/>
                <w:sz w:val="21"/>
                <w:szCs w:val="21"/>
              </w:rPr>
              <w:t>200转/1000g后减重：≤80</w:t>
            </w:r>
          </w:p>
        </w:tc>
      </w:tr>
      <w:tr>
        <w:tblPrEx>
          <w:tblCellMar>
            <w:top w:w="15" w:type="dxa"/>
            <w:left w:w="15" w:type="dxa"/>
            <w:bottom w:w="15" w:type="dxa"/>
            <w:right w:w="15" w:type="dxa"/>
          </w:tblCellMar>
        </w:tblPrEx>
        <w:trPr>
          <w:trHeight w:val="532" w:hRule="atLeast"/>
        </w:trPr>
        <w:tc>
          <w:tcPr>
            <w:tcW w:w="509" w:type="dxa"/>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8</w:t>
            </w:r>
          </w:p>
        </w:tc>
        <w:tc>
          <w:tcPr>
            <w:tcW w:w="3313" w:type="dxa"/>
            <w:gridSpan w:val="3"/>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耐水性</w:t>
            </w:r>
          </w:p>
        </w:tc>
        <w:tc>
          <w:tcPr>
            <w:tcW w:w="5296" w:type="dxa"/>
            <w:tcBorders>
              <w:top w:val="single" w:color="000000" w:sz="4" w:space="0"/>
              <w:left w:val="single" w:color="000000" w:sz="4" w:space="0"/>
              <w:bottom w:val="single" w:color="000000" w:sz="4" w:space="0"/>
              <w:right w:val="single" w:color="000000" w:sz="4" w:space="0"/>
            </w:tcBorders>
            <w:noWrap w:val="0"/>
            <w:vAlign w:val="center"/>
          </w:tcPr>
          <w:p>
            <w:pPr>
              <w:pStyle w:val="41"/>
              <w:rPr>
                <w:rFonts w:hint="eastAsia" w:ascii="宋体" w:hAnsi="宋体" w:eastAsia="宋体" w:cs="宋体"/>
                <w:sz w:val="21"/>
                <w:szCs w:val="21"/>
              </w:rPr>
            </w:pPr>
            <w:r>
              <w:rPr>
                <w:rFonts w:hint="eastAsia" w:ascii="宋体" w:hAnsi="宋体" w:eastAsia="宋体" w:cs="宋体"/>
                <w:sz w:val="21"/>
                <w:szCs w:val="21"/>
              </w:rPr>
              <w:t>在水中浸泡24h，应无异常现象</w:t>
            </w:r>
          </w:p>
        </w:tc>
      </w:tr>
      <w:tr>
        <w:tblPrEx>
          <w:tblCellMar>
            <w:top w:w="15" w:type="dxa"/>
            <w:left w:w="15" w:type="dxa"/>
            <w:bottom w:w="15" w:type="dxa"/>
            <w:right w:w="15" w:type="dxa"/>
          </w:tblCellMar>
        </w:tblPrEx>
        <w:trPr>
          <w:trHeight w:val="507" w:hRule="atLeast"/>
        </w:trPr>
        <w:tc>
          <w:tcPr>
            <w:tcW w:w="509" w:type="dxa"/>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9</w:t>
            </w:r>
          </w:p>
        </w:tc>
        <w:tc>
          <w:tcPr>
            <w:tcW w:w="3313" w:type="dxa"/>
            <w:gridSpan w:val="3"/>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耐碱性</w:t>
            </w:r>
          </w:p>
        </w:tc>
        <w:tc>
          <w:tcPr>
            <w:tcW w:w="5296" w:type="dxa"/>
            <w:tcBorders>
              <w:top w:val="single" w:color="000000" w:sz="4" w:space="0"/>
              <w:left w:val="single" w:color="000000" w:sz="4" w:space="0"/>
              <w:bottom w:val="single" w:color="000000" w:sz="4" w:space="0"/>
              <w:right w:val="single" w:color="000000" w:sz="4" w:space="0"/>
            </w:tcBorders>
            <w:noWrap w:val="0"/>
            <w:vAlign w:val="center"/>
          </w:tcPr>
          <w:p>
            <w:pPr>
              <w:pStyle w:val="41"/>
              <w:spacing w:line="400" w:lineRule="exact"/>
              <w:rPr>
                <w:rFonts w:hint="eastAsia" w:ascii="宋体" w:hAnsi="宋体" w:eastAsia="宋体" w:cs="宋体"/>
                <w:sz w:val="21"/>
                <w:szCs w:val="21"/>
              </w:rPr>
            </w:pPr>
            <w:r>
              <w:rPr>
                <w:rFonts w:hint="eastAsia" w:ascii="宋体" w:hAnsi="宋体" w:eastAsia="宋体" w:cs="宋体"/>
                <w:sz w:val="21"/>
                <w:szCs w:val="21"/>
              </w:rPr>
              <w:t>在饱和氢氧化钙溶液中浸泡24h，应无异常现象</w:t>
            </w:r>
          </w:p>
        </w:tc>
      </w:tr>
      <w:tr>
        <w:tblPrEx>
          <w:tblCellMar>
            <w:top w:w="15" w:type="dxa"/>
            <w:left w:w="15" w:type="dxa"/>
            <w:bottom w:w="15" w:type="dxa"/>
            <w:right w:w="15" w:type="dxa"/>
          </w:tblCellMar>
        </w:tblPrEx>
        <w:trPr>
          <w:trHeight w:val="578" w:hRule="atLeast"/>
        </w:trPr>
        <w:tc>
          <w:tcPr>
            <w:tcW w:w="509" w:type="dxa"/>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10</w:t>
            </w:r>
          </w:p>
        </w:tc>
        <w:tc>
          <w:tcPr>
            <w:tcW w:w="3313" w:type="dxa"/>
            <w:gridSpan w:val="3"/>
            <w:tcBorders>
              <w:top w:val="single" w:color="000000" w:sz="4" w:space="0"/>
              <w:left w:val="single" w:color="000000" w:sz="4" w:space="0"/>
              <w:bottom w:val="single" w:color="000000" w:sz="4" w:space="0"/>
              <w:right w:val="single" w:color="000000" w:sz="4" w:space="0"/>
            </w:tcBorders>
            <w:noWrap w:val="0"/>
            <w:vAlign w:val="center"/>
          </w:tcPr>
          <w:p>
            <w:pPr>
              <w:pStyle w:val="41"/>
              <w:jc w:val="center"/>
              <w:rPr>
                <w:rFonts w:hint="eastAsia" w:ascii="宋体" w:hAnsi="宋体" w:eastAsia="宋体" w:cs="宋体"/>
                <w:sz w:val="21"/>
                <w:szCs w:val="21"/>
              </w:rPr>
            </w:pPr>
            <w:r>
              <w:rPr>
                <w:rFonts w:hint="eastAsia" w:ascii="宋体" w:hAnsi="宋体" w:eastAsia="宋体" w:cs="宋体"/>
                <w:sz w:val="21"/>
                <w:szCs w:val="21"/>
              </w:rPr>
              <w:t>玻璃珠含量(%)</w:t>
            </w:r>
          </w:p>
        </w:tc>
        <w:tc>
          <w:tcPr>
            <w:tcW w:w="5296" w:type="dxa"/>
            <w:tcBorders>
              <w:top w:val="single" w:color="000000" w:sz="4" w:space="0"/>
              <w:left w:val="single" w:color="000000" w:sz="4" w:space="0"/>
              <w:bottom w:val="single" w:color="000000" w:sz="4" w:space="0"/>
              <w:right w:val="single" w:color="000000" w:sz="4" w:space="0"/>
            </w:tcBorders>
            <w:noWrap w:val="0"/>
            <w:vAlign w:val="center"/>
          </w:tcPr>
          <w:p>
            <w:pPr>
              <w:pStyle w:val="41"/>
              <w:rPr>
                <w:rFonts w:hint="eastAsia" w:ascii="宋体" w:hAnsi="宋体" w:eastAsia="宋体" w:cs="宋体"/>
                <w:sz w:val="21"/>
                <w:szCs w:val="21"/>
              </w:rPr>
            </w:pPr>
            <w:r>
              <w:rPr>
                <w:rFonts w:hint="eastAsia" w:ascii="宋体" w:hAnsi="宋体" w:eastAsia="宋体" w:cs="宋体"/>
                <w:sz w:val="21"/>
                <w:szCs w:val="21"/>
              </w:rPr>
              <w:t>18～25</w:t>
            </w:r>
          </w:p>
        </w:tc>
      </w:tr>
    </w:tbl>
    <w:p>
      <w:pPr>
        <w:spacing w:line="360" w:lineRule="auto"/>
        <w:ind w:firstLine="420" w:firstLineChars="200"/>
        <w:jc w:val="left"/>
        <w:rPr>
          <w:rFonts w:hint="eastAsia" w:asciiTheme="minorEastAsia" w:hAnsiTheme="minorEastAsia"/>
          <w:szCs w:val="21"/>
          <w:highlight w:val="none"/>
          <w:lang w:val="en-GB"/>
        </w:rPr>
      </w:pPr>
      <w:r>
        <w:rPr>
          <w:rFonts w:hint="eastAsia" w:asciiTheme="minorEastAsia" w:hAnsiTheme="minorEastAsia"/>
          <w:szCs w:val="21"/>
          <w:highlight w:val="none"/>
          <w:lang w:val="en-GB" w:eastAsia="zh-CN"/>
        </w:rPr>
        <w:t>（二）</w:t>
      </w:r>
      <w:r>
        <w:rPr>
          <w:rFonts w:hint="eastAsia" w:asciiTheme="minorEastAsia" w:hAnsiTheme="minorEastAsia"/>
          <w:szCs w:val="21"/>
          <w:highlight w:val="none"/>
          <w:lang w:val="en-GB"/>
        </w:rPr>
        <w:t>道路热熔标线施划要求：</w:t>
      </w:r>
    </w:p>
    <w:p>
      <w:pPr>
        <w:spacing w:line="360" w:lineRule="auto"/>
        <w:ind w:firstLine="420" w:firstLineChars="200"/>
        <w:jc w:val="left"/>
        <w:rPr>
          <w:rFonts w:hint="eastAsia" w:asciiTheme="minorEastAsia" w:hAnsiTheme="minorEastAsia"/>
          <w:szCs w:val="21"/>
          <w:highlight w:val="none"/>
          <w:lang w:val="en-GB"/>
        </w:rPr>
      </w:pPr>
      <w:r>
        <w:rPr>
          <w:rFonts w:hint="eastAsia" w:asciiTheme="minorEastAsia" w:hAnsiTheme="minorEastAsia"/>
          <w:szCs w:val="21"/>
          <w:highlight w:val="none"/>
          <w:lang w:val="en-US" w:eastAsia="zh-CN"/>
        </w:rPr>
        <w:t>1.</w:t>
      </w:r>
      <w:r>
        <w:rPr>
          <w:rFonts w:hint="eastAsia" w:asciiTheme="minorEastAsia" w:hAnsiTheme="minorEastAsia"/>
          <w:szCs w:val="21"/>
          <w:highlight w:val="none"/>
          <w:lang w:val="en-GB"/>
        </w:rPr>
        <w:t>道路标线施划须严格按照《城市道路交通标志和标线设置规范》GB51038—2015、《道路交通标线质量要求和检测方法》（GB/16311-2016）及国家有关规范、标准施工。</w:t>
      </w:r>
    </w:p>
    <w:p>
      <w:pPr>
        <w:spacing w:line="360" w:lineRule="auto"/>
        <w:ind w:firstLine="420" w:firstLineChars="200"/>
        <w:jc w:val="left"/>
        <w:rPr>
          <w:rFonts w:hint="eastAsia" w:asciiTheme="minorEastAsia" w:hAnsiTheme="minorEastAsia"/>
          <w:szCs w:val="21"/>
          <w:highlight w:val="none"/>
          <w:lang w:val="en-GB"/>
        </w:rPr>
      </w:pPr>
      <w:r>
        <w:rPr>
          <w:rFonts w:hint="eastAsia" w:asciiTheme="minorEastAsia" w:hAnsiTheme="minorEastAsia"/>
          <w:szCs w:val="21"/>
          <w:highlight w:val="none"/>
          <w:lang w:val="en-US" w:eastAsia="zh-CN"/>
        </w:rPr>
        <w:t>2.</w:t>
      </w:r>
      <w:r>
        <w:rPr>
          <w:rFonts w:hint="eastAsia" w:asciiTheme="minorEastAsia" w:hAnsiTheme="minorEastAsia"/>
          <w:szCs w:val="21"/>
          <w:highlight w:val="none"/>
          <w:lang w:val="en-GB"/>
        </w:rPr>
        <w:t>标线质量要求：</w:t>
      </w:r>
    </w:p>
    <w:p>
      <w:pPr>
        <w:spacing w:line="360" w:lineRule="auto"/>
        <w:ind w:firstLine="420" w:firstLineChars="200"/>
        <w:jc w:val="left"/>
        <w:rPr>
          <w:rFonts w:hint="eastAsia" w:asciiTheme="minorEastAsia" w:hAnsiTheme="minorEastAsia"/>
          <w:szCs w:val="21"/>
          <w:highlight w:val="none"/>
          <w:lang w:val="en-GB"/>
        </w:rPr>
      </w:pPr>
      <w:r>
        <w:rPr>
          <w:rFonts w:hint="eastAsia" w:asciiTheme="minorEastAsia" w:hAnsiTheme="minorEastAsia"/>
          <w:szCs w:val="21"/>
          <w:highlight w:val="none"/>
          <w:lang w:val="en-GB"/>
        </w:rPr>
        <w:t>①、所有标线必须能在验收合格后12个月内保证完好率为95%以上；</w:t>
      </w:r>
    </w:p>
    <w:p>
      <w:pPr>
        <w:rPr>
          <w:rFonts w:ascii="宋体" w:hAnsi="宋体" w:eastAsia="宋体"/>
          <w:b/>
          <w:szCs w:val="21"/>
          <w:highlight w:val="none"/>
        </w:rPr>
      </w:pPr>
      <w:r>
        <w:rPr>
          <w:rFonts w:ascii="宋体" w:hAnsi="宋体" w:eastAsia="宋体"/>
          <w:b/>
          <w:szCs w:val="21"/>
          <w:highlight w:val="none"/>
        </w:rPr>
        <w:br w:type="page"/>
      </w:r>
    </w:p>
    <w:p>
      <w:pPr>
        <w:jc w:val="center"/>
        <w:rPr>
          <w:rFonts w:ascii="宋体" w:hAnsi="宋体" w:eastAsia="宋体"/>
          <w:b/>
          <w:szCs w:val="21"/>
          <w:highlight w:val="none"/>
        </w:rPr>
      </w:pPr>
      <w:r>
        <w:rPr>
          <w:rFonts w:ascii="宋体" w:hAnsi="宋体" w:eastAsia="宋体"/>
          <w:b/>
          <w:szCs w:val="21"/>
          <w:highlight w:val="none"/>
        </w:rPr>
        <w:t>报名登记表</w:t>
      </w:r>
    </w:p>
    <w:p>
      <w:pPr>
        <w:jc w:val="center"/>
        <w:rPr>
          <w:rFonts w:ascii="宋体" w:hAnsi="宋体" w:eastAsia="宋体"/>
          <w:szCs w:val="21"/>
          <w:highlight w:val="none"/>
        </w:rPr>
      </w:pPr>
    </w:p>
    <w:tbl>
      <w:tblPr>
        <w:tblStyle w:val="17"/>
        <w:tblW w:w="92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highlight w:val="none"/>
              </w:rPr>
            </w:pPr>
            <w:r>
              <w:rPr>
                <w:rFonts w:hint="eastAsia"/>
                <w:szCs w:val="21"/>
                <w:highlight w:val="none"/>
              </w:rPr>
              <w:t>项目名称</w:t>
            </w:r>
          </w:p>
        </w:tc>
        <w:tc>
          <w:tcPr>
            <w:tcW w:w="7264" w:type="dxa"/>
            <w:vAlign w:val="center"/>
          </w:tcPr>
          <w:p>
            <w:pPr>
              <w:spacing w:line="480" w:lineRule="exact"/>
              <w:ind w:firstLine="420" w:firstLineChars="200"/>
              <w:rPr>
                <w:rFonts w:ascii="宋体" w:hAns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highlight w:val="none"/>
              </w:rPr>
            </w:pPr>
            <w:r>
              <w:rPr>
                <w:rFonts w:hint="eastAsia"/>
                <w:szCs w:val="21"/>
                <w:highlight w:val="none"/>
              </w:rPr>
              <w:t>报名单位</w:t>
            </w:r>
          </w:p>
        </w:tc>
        <w:tc>
          <w:tcPr>
            <w:tcW w:w="7264" w:type="dxa"/>
            <w:vAlign w:val="center"/>
          </w:tcPr>
          <w:p>
            <w:pPr>
              <w:spacing w:line="480" w:lineRule="exact"/>
              <w:ind w:firstLine="420" w:firstLineChars="200"/>
              <w:rPr>
                <w:rFonts w:ascii="宋体" w:hAns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highlight w:val="none"/>
              </w:rPr>
            </w:pPr>
            <w:r>
              <w:rPr>
                <w:rFonts w:hint="eastAsia"/>
                <w:szCs w:val="21"/>
                <w:highlight w:val="none"/>
              </w:rPr>
              <w:t>报名联系人</w:t>
            </w:r>
          </w:p>
        </w:tc>
        <w:tc>
          <w:tcPr>
            <w:tcW w:w="7264" w:type="dxa"/>
            <w:vAlign w:val="center"/>
          </w:tcPr>
          <w:p>
            <w:pPr>
              <w:spacing w:before="100" w:beforeAutospacing="1" w:after="100" w:afterAutospacing="1"/>
              <w:outlineLvl w:val="0"/>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highlight w:val="none"/>
              </w:rPr>
            </w:pPr>
            <w:r>
              <w:rPr>
                <w:rFonts w:hint="eastAsia"/>
                <w:szCs w:val="21"/>
                <w:highlight w:val="none"/>
              </w:rPr>
              <w:t>报名联系人手机</w:t>
            </w:r>
          </w:p>
        </w:tc>
        <w:tc>
          <w:tcPr>
            <w:tcW w:w="7264" w:type="dxa"/>
            <w:vAlign w:val="center"/>
          </w:tcPr>
          <w:p>
            <w:pPr>
              <w:spacing w:before="100" w:beforeAutospacing="1" w:after="100" w:afterAutospacing="1"/>
              <w:jc w:val="center"/>
              <w:outlineLvl w:val="0"/>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highlight w:val="none"/>
              </w:rPr>
            </w:pPr>
            <w:r>
              <w:rPr>
                <w:rFonts w:hint="eastAsia"/>
                <w:szCs w:val="21"/>
                <w:highlight w:val="none"/>
              </w:rPr>
              <w:t>报名联系人座机</w:t>
            </w:r>
          </w:p>
        </w:tc>
        <w:tc>
          <w:tcPr>
            <w:tcW w:w="7264" w:type="dxa"/>
            <w:vAlign w:val="center"/>
          </w:tcPr>
          <w:p>
            <w:pPr>
              <w:spacing w:before="100" w:beforeAutospacing="1" w:after="100" w:afterAutospacing="1"/>
              <w:jc w:val="center"/>
              <w:outlineLvl w:val="0"/>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spacing w:line="360" w:lineRule="auto"/>
              <w:jc w:val="center"/>
              <w:rPr>
                <w:szCs w:val="21"/>
                <w:highlight w:val="none"/>
              </w:rPr>
            </w:pPr>
            <w:r>
              <w:rPr>
                <w:rFonts w:hint="eastAsia"/>
                <w:szCs w:val="21"/>
                <w:highlight w:val="none"/>
              </w:rPr>
              <w:t>报名联系人</w:t>
            </w:r>
          </w:p>
          <w:p>
            <w:pPr>
              <w:spacing w:line="360" w:lineRule="auto"/>
              <w:jc w:val="center"/>
              <w:rPr>
                <w:szCs w:val="21"/>
                <w:highlight w:val="none"/>
              </w:rPr>
            </w:pPr>
            <w:r>
              <w:rPr>
                <w:rFonts w:hint="eastAsia"/>
                <w:szCs w:val="21"/>
                <w:highlight w:val="none"/>
              </w:rPr>
              <w:t>电子邮箱</w:t>
            </w:r>
          </w:p>
        </w:tc>
        <w:tc>
          <w:tcPr>
            <w:tcW w:w="7264" w:type="dxa"/>
            <w:vAlign w:val="center"/>
          </w:tcPr>
          <w:p>
            <w:pPr>
              <w:spacing w:before="100" w:beforeAutospacing="1" w:after="100" w:afterAutospacing="1"/>
              <w:jc w:val="center"/>
              <w:outlineLvl w:val="0"/>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4" w:hRule="atLeast"/>
          <w:jc w:val="center"/>
        </w:trPr>
        <w:tc>
          <w:tcPr>
            <w:tcW w:w="1987" w:type="dxa"/>
            <w:vAlign w:val="center"/>
          </w:tcPr>
          <w:p>
            <w:pPr>
              <w:spacing w:after="240"/>
              <w:jc w:val="center"/>
              <w:rPr>
                <w:szCs w:val="21"/>
                <w:highlight w:val="none"/>
              </w:rPr>
            </w:pPr>
            <w:r>
              <w:rPr>
                <w:rFonts w:hint="eastAsia"/>
                <w:szCs w:val="21"/>
                <w:highlight w:val="none"/>
              </w:rPr>
              <w:t>投标单位登记须知</w:t>
            </w:r>
          </w:p>
        </w:tc>
        <w:tc>
          <w:tcPr>
            <w:tcW w:w="7264" w:type="dxa"/>
            <w:vAlign w:val="center"/>
          </w:tcPr>
          <w:p>
            <w:pPr>
              <w:spacing w:line="360" w:lineRule="auto"/>
              <w:ind w:firstLine="480" w:firstLineChars="200"/>
              <w:rPr>
                <w:rFonts w:ascii="宋体" w:hAnsi="宋体" w:cs="Calibri"/>
                <w:kern w:val="0"/>
                <w:sz w:val="24"/>
                <w:highlight w:val="none"/>
                <w:lang w:val="zh-CN"/>
              </w:rPr>
            </w:pPr>
            <w:r>
              <w:rPr>
                <w:rFonts w:hint="eastAsia" w:ascii="宋体" w:hAnsi="宋体" w:cs="宋体"/>
                <w:color w:val="333333"/>
                <w:kern w:val="0"/>
                <w:sz w:val="24"/>
                <w:szCs w:val="24"/>
                <w:highlight w:val="none"/>
              </w:rPr>
              <w:t>1、请投标人如实填写《报名登记表》在报名截止前发送至</w:t>
            </w:r>
            <w:r>
              <w:rPr>
                <w:rFonts w:hint="eastAsia" w:ascii="宋体" w:hAnsi="宋体" w:cs="宋体"/>
                <w:color w:val="333333"/>
                <w:kern w:val="0"/>
                <w:sz w:val="24"/>
                <w:szCs w:val="24"/>
                <w:highlight w:val="none"/>
                <w:lang w:val="en-US" w:eastAsia="zh-CN"/>
              </w:rPr>
              <w:t>13700253@qq.com，并递交300元投标报名费</w:t>
            </w:r>
            <w:r>
              <w:rPr>
                <w:rFonts w:hint="eastAsia" w:ascii="宋体" w:hAnsi="宋体" w:cs="宋体"/>
                <w:color w:val="333333"/>
                <w:kern w:val="0"/>
                <w:sz w:val="24"/>
                <w:szCs w:val="24"/>
                <w:highlight w:val="none"/>
              </w:rPr>
              <w:t>。</w:t>
            </w:r>
          </w:p>
          <w:p>
            <w:pPr>
              <w:spacing w:line="400" w:lineRule="exact"/>
              <w:ind w:firstLine="480" w:firstLineChars="200"/>
              <w:rPr>
                <w:rFonts w:ascii="宋体" w:hAnsi="宋体" w:cs="宋体"/>
                <w:color w:val="333333"/>
                <w:kern w:val="0"/>
                <w:sz w:val="24"/>
                <w:szCs w:val="24"/>
                <w:highlight w:val="none"/>
              </w:rPr>
            </w:pPr>
            <w:r>
              <w:rPr>
                <w:rFonts w:hint="eastAsia" w:ascii="宋体" w:hAnsi="宋体" w:cs="宋体"/>
                <w:color w:val="333333"/>
                <w:kern w:val="0"/>
                <w:sz w:val="24"/>
                <w:szCs w:val="24"/>
                <w:highlight w:val="none"/>
              </w:rPr>
              <w:t>2、代理公司账户：</w:t>
            </w:r>
          </w:p>
          <w:p>
            <w:pPr>
              <w:spacing w:line="360" w:lineRule="auto"/>
              <w:ind w:firstLine="422" w:firstLineChars="175"/>
              <w:rPr>
                <w:rFonts w:ascii="宋体" w:hAnsi="宋体" w:cs="宋体"/>
                <w:b/>
                <w:bCs/>
                <w:sz w:val="24"/>
                <w:szCs w:val="24"/>
                <w:highlight w:val="none"/>
              </w:rPr>
            </w:pPr>
            <w:r>
              <w:rPr>
                <w:rFonts w:hint="eastAsia" w:ascii="宋体" w:hAnsi="宋体" w:cs="宋体"/>
                <w:b/>
                <w:bCs/>
                <w:sz w:val="24"/>
                <w:szCs w:val="24"/>
                <w:highlight w:val="none"/>
              </w:rPr>
              <w:t>户名：黄石城发工程咨询有限公司</w:t>
            </w:r>
          </w:p>
          <w:p>
            <w:pPr>
              <w:spacing w:line="360" w:lineRule="auto"/>
              <w:ind w:firstLine="422" w:firstLineChars="175"/>
              <w:rPr>
                <w:rFonts w:ascii="宋体" w:hAnsi="宋体" w:cs="宋体"/>
                <w:b/>
                <w:bCs/>
                <w:sz w:val="24"/>
                <w:szCs w:val="24"/>
                <w:highlight w:val="none"/>
              </w:rPr>
            </w:pPr>
            <w:r>
              <w:rPr>
                <w:rFonts w:hint="eastAsia" w:ascii="宋体" w:hAnsi="宋体" w:cs="宋体"/>
                <w:b/>
                <w:bCs/>
                <w:sz w:val="24"/>
                <w:szCs w:val="24"/>
                <w:highlight w:val="none"/>
              </w:rPr>
              <w:t>帐号：714903123910101</w:t>
            </w:r>
          </w:p>
          <w:p>
            <w:pPr>
              <w:spacing w:line="360" w:lineRule="auto"/>
              <w:ind w:firstLine="422" w:firstLineChars="175"/>
              <w:rPr>
                <w:rFonts w:ascii="宋体" w:hAnsi="宋体" w:cs="宋体"/>
                <w:b/>
                <w:bCs/>
                <w:sz w:val="24"/>
                <w:szCs w:val="24"/>
                <w:highlight w:val="none"/>
              </w:rPr>
            </w:pPr>
            <w:r>
              <w:rPr>
                <w:rFonts w:hint="eastAsia" w:ascii="宋体" w:hAnsi="宋体" w:cs="宋体"/>
                <w:b/>
                <w:bCs/>
                <w:sz w:val="24"/>
                <w:szCs w:val="24"/>
                <w:highlight w:val="none"/>
              </w:rPr>
              <w:t>开户行：招商银行股份有限公司黄石分行营业部</w:t>
            </w:r>
          </w:p>
          <w:p>
            <w:pPr>
              <w:spacing w:after="240" w:line="440" w:lineRule="exact"/>
              <w:rPr>
                <w:szCs w:val="21"/>
                <w:highlight w:val="none"/>
              </w:rPr>
            </w:pPr>
          </w:p>
        </w:tc>
      </w:tr>
    </w:tbl>
    <w:p>
      <w:pPr>
        <w:rPr>
          <w:szCs w:val="21"/>
          <w:highlight w:val="none"/>
        </w:rPr>
      </w:pPr>
    </w:p>
    <w:p>
      <w:pPr>
        <w:widowControl/>
        <w:spacing w:line="420" w:lineRule="atLeast"/>
        <w:jc w:val="left"/>
        <w:rPr>
          <w:rFonts w:ascii="宋体" w:hAnsi="宋体" w:eastAsia="宋体" w:cs="宋体"/>
          <w:color w:val="000000"/>
          <w:kern w:val="0"/>
          <w:szCs w:val="21"/>
          <w:highlight w:val="none"/>
        </w:rPr>
      </w:pPr>
    </w:p>
    <w:p>
      <w:pPr>
        <w:widowControl/>
        <w:spacing w:line="420" w:lineRule="atLeast"/>
        <w:jc w:val="left"/>
        <w:rPr>
          <w:rFonts w:ascii="宋体" w:hAnsi="宋体" w:eastAsia="宋体" w:cs="宋体"/>
          <w:color w:val="000000"/>
          <w:kern w:val="0"/>
          <w:szCs w:val="21"/>
          <w:highlight w:val="none"/>
        </w:rPr>
      </w:pPr>
    </w:p>
    <w:p>
      <w:pPr>
        <w:widowControl/>
        <w:spacing w:line="420" w:lineRule="atLeast"/>
        <w:jc w:val="left"/>
        <w:rPr>
          <w:rFonts w:ascii="宋体" w:hAnsi="宋体" w:eastAsia="宋体" w:cs="宋体"/>
          <w:color w:val="000000"/>
          <w:kern w:val="0"/>
          <w:szCs w:val="21"/>
          <w:highlight w:val="none"/>
        </w:rPr>
      </w:pPr>
    </w:p>
    <w:p>
      <w:pPr>
        <w:spacing w:line="480" w:lineRule="exact"/>
        <w:rPr>
          <w:rFonts w:ascii="宋体" w:hAnsi="宋体"/>
          <w:color w:val="000000"/>
          <w:szCs w:val="21"/>
          <w:highlight w:val="none"/>
        </w:rPr>
      </w:pPr>
    </w:p>
    <w:p>
      <w:pPr>
        <w:rPr>
          <w:rFonts w:hint="eastAsia" w:ascii="宋体" w:hAnsi="宋体"/>
          <w:color w:val="000000"/>
          <w:szCs w:val="21"/>
          <w:highlight w:val="none"/>
        </w:rPr>
      </w:pPr>
      <w:r>
        <w:rPr>
          <w:rFonts w:hint="eastAsia" w:ascii="宋体" w:hAnsi="宋体"/>
          <w:color w:val="000000"/>
          <w:szCs w:val="21"/>
          <w:highlight w:val="none"/>
        </w:rPr>
        <w:br w:type="page"/>
      </w:r>
    </w:p>
    <w:p>
      <w:pPr>
        <w:spacing w:line="480" w:lineRule="exact"/>
        <w:rPr>
          <w:rFonts w:ascii="宋体" w:hAnsi="宋体"/>
          <w:color w:val="000000"/>
          <w:szCs w:val="21"/>
          <w:highlight w:val="none"/>
        </w:rPr>
      </w:pPr>
      <w:r>
        <w:rPr>
          <w:rFonts w:hint="eastAsia" w:ascii="宋体" w:hAnsi="宋体"/>
          <w:color w:val="000000"/>
          <w:szCs w:val="21"/>
          <w:highlight w:val="none"/>
        </w:rPr>
        <w:t>附件一</w:t>
      </w:r>
    </w:p>
    <w:p>
      <w:pPr>
        <w:spacing w:line="480" w:lineRule="exact"/>
        <w:rPr>
          <w:rFonts w:ascii="宋体" w:hAnsi="宋体"/>
          <w:color w:val="000000"/>
          <w:szCs w:val="21"/>
          <w:highlight w:val="none"/>
        </w:rPr>
      </w:pPr>
      <w:r>
        <w:rPr>
          <w:rFonts w:hint="eastAsia" w:ascii="宋体" w:hAnsi="宋体"/>
          <w:color w:val="000000"/>
          <w:szCs w:val="21"/>
          <w:highlight w:val="none"/>
        </w:rPr>
        <w:t>投标报价</w:t>
      </w:r>
    </w:p>
    <w:p>
      <w:pPr>
        <w:spacing w:line="480" w:lineRule="exact"/>
        <w:rPr>
          <w:rFonts w:hint="eastAsia" w:ascii="宋体" w:hAnsi="宋体" w:eastAsiaTheme="minorEastAsia"/>
          <w:color w:val="000000"/>
          <w:szCs w:val="21"/>
          <w:highlight w:val="none"/>
          <w:lang w:eastAsia="zh-CN"/>
        </w:rPr>
      </w:pPr>
      <w:r>
        <w:rPr>
          <w:rFonts w:hint="eastAsia" w:ascii="宋体" w:hAnsi="宋体"/>
          <w:color w:val="000000"/>
          <w:szCs w:val="21"/>
          <w:highlight w:val="none"/>
        </w:rPr>
        <w:t>报总价，且不能超招标控制价，并附</w:t>
      </w:r>
      <w:r>
        <w:rPr>
          <w:rFonts w:hint="eastAsia" w:ascii="宋体" w:hAnsi="宋体"/>
          <w:color w:val="000000"/>
          <w:szCs w:val="21"/>
          <w:highlight w:val="none"/>
          <w:lang w:eastAsia="zh-CN"/>
        </w:rPr>
        <w:t>分项报价表，工程以综合单价据实结算。</w:t>
      </w:r>
    </w:p>
    <w:p>
      <w:pPr>
        <w:spacing w:line="480" w:lineRule="exact"/>
        <w:rPr>
          <w:rFonts w:ascii="宋体" w:hAnsi="宋体"/>
          <w:color w:val="000000"/>
          <w:szCs w:val="21"/>
          <w:highlight w:val="none"/>
        </w:rPr>
      </w:pPr>
      <w:r>
        <w:rPr>
          <w:rFonts w:hint="eastAsia" w:ascii="宋体" w:hAnsi="宋体"/>
          <w:color w:val="000000"/>
          <w:szCs w:val="21"/>
          <w:highlight w:val="none"/>
        </w:rPr>
        <w:t>格式自拟</w:t>
      </w:r>
    </w:p>
    <w:p>
      <w:pPr>
        <w:spacing w:line="480" w:lineRule="exact"/>
        <w:rPr>
          <w:rFonts w:ascii="宋体" w:hAnsi="宋体"/>
          <w:color w:val="000000"/>
          <w:szCs w:val="21"/>
          <w:highlight w:val="none"/>
        </w:rPr>
      </w:pPr>
    </w:p>
    <w:p>
      <w:pPr>
        <w:spacing w:line="480" w:lineRule="exact"/>
        <w:rPr>
          <w:rFonts w:ascii="宋体" w:hAnsi="宋体"/>
          <w:color w:val="000000"/>
          <w:szCs w:val="21"/>
          <w:highlight w:val="none"/>
        </w:rPr>
      </w:pPr>
      <w:r>
        <w:rPr>
          <w:rFonts w:hint="eastAsia" w:ascii="宋体" w:hAnsi="宋体"/>
          <w:color w:val="000000"/>
          <w:szCs w:val="21"/>
          <w:highlight w:val="none"/>
        </w:rPr>
        <w:t>附件二</w:t>
      </w:r>
    </w:p>
    <w:p>
      <w:pPr>
        <w:spacing w:line="480" w:lineRule="exact"/>
        <w:rPr>
          <w:rFonts w:ascii="宋体" w:hAnsi="宋体"/>
          <w:color w:val="000000"/>
          <w:szCs w:val="21"/>
          <w:highlight w:val="none"/>
        </w:rPr>
      </w:pPr>
      <w:r>
        <w:rPr>
          <w:rFonts w:hint="eastAsia" w:ascii="宋体" w:hAnsi="宋体"/>
          <w:color w:val="000000"/>
          <w:szCs w:val="21"/>
          <w:highlight w:val="none"/>
        </w:rPr>
        <w:t>资格证明文件</w:t>
      </w:r>
    </w:p>
    <w:p>
      <w:pPr>
        <w:spacing w:line="480" w:lineRule="exact"/>
        <w:rPr>
          <w:rFonts w:ascii="宋体" w:hAnsi="宋体"/>
          <w:color w:val="000000"/>
          <w:szCs w:val="21"/>
          <w:highlight w:val="none"/>
        </w:rPr>
      </w:pPr>
      <w:r>
        <w:rPr>
          <w:rFonts w:hint="eastAsia" w:ascii="宋体" w:hAnsi="宋体"/>
          <w:color w:val="000000"/>
          <w:szCs w:val="21"/>
          <w:highlight w:val="none"/>
        </w:rPr>
        <w:t>格式自拟</w:t>
      </w:r>
    </w:p>
    <w:p>
      <w:pPr>
        <w:spacing w:line="480" w:lineRule="exact"/>
        <w:rPr>
          <w:rFonts w:ascii="宋体" w:hAnsi="宋体"/>
          <w:color w:val="000000"/>
          <w:szCs w:val="21"/>
          <w:highlight w:val="none"/>
        </w:rPr>
      </w:pPr>
    </w:p>
    <w:p>
      <w:pPr>
        <w:spacing w:line="480" w:lineRule="exact"/>
        <w:rPr>
          <w:rFonts w:ascii="宋体" w:hAnsi="宋体"/>
          <w:color w:val="000000"/>
          <w:szCs w:val="21"/>
          <w:highlight w:val="none"/>
        </w:rPr>
      </w:pPr>
      <w:r>
        <w:rPr>
          <w:rFonts w:hint="eastAsia" w:ascii="宋体" w:hAnsi="宋体"/>
          <w:color w:val="000000"/>
          <w:szCs w:val="21"/>
          <w:highlight w:val="none"/>
        </w:rPr>
        <w:t>附件三</w:t>
      </w:r>
    </w:p>
    <w:p>
      <w:pPr>
        <w:spacing w:line="480" w:lineRule="exact"/>
        <w:rPr>
          <w:rFonts w:ascii="宋体" w:hAnsi="宋体"/>
          <w:color w:val="000000"/>
          <w:szCs w:val="21"/>
          <w:highlight w:val="none"/>
        </w:rPr>
      </w:pPr>
      <w:r>
        <w:rPr>
          <w:rFonts w:hint="eastAsia" w:ascii="宋体" w:hAnsi="宋体"/>
          <w:color w:val="000000"/>
          <w:szCs w:val="21"/>
          <w:highlight w:val="none"/>
        </w:rPr>
        <w:t>实施方案</w:t>
      </w:r>
    </w:p>
    <w:p>
      <w:pPr>
        <w:spacing w:line="480" w:lineRule="exact"/>
        <w:rPr>
          <w:rFonts w:ascii="宋体" w:hAnsi="宋体"/>
          <w:color w:val="000000"/>
          <w:szCs w:val="21"/>
          <w:highlight w:val="none"/>
        </w:rPr>
      </w:pPr>
      <w:r>
        <w:rPr>
          <w:rFonts w:hint="eastAsia" w:ascii="宋体" w:hAnsi="宋体"/>
          <w:color w:val="000000"/>
          <w:szCs w:val="21"/>
          <w:highlight w:val="none"/>
        </w:rPr>
        <w:t>格式自拟</w:t>
      </w:r>
    </w:p>
    <w:p>
      <w:pPr>
        <w:spacing w:line="480" w:lineRule="exact"/>
        <w:rPr>
          <w:rFonts w:ascii="宋体" w:hAnsi="宋体"/>
          <w:color w:val="000000"/>
          <w:szCs w:val="21"/>
          <w:highlight w:val="none"/>
        </w:rPr>
      </w:pPr>
    </w:p>
    <w:p>
      <w:pPr>
        <w:spacing w:line="480" w:lineRule="exact"/>
        <w:rPr>
          <w:rFonts w:ascii="宋体" w:hAnsi="宋体"/>
          <w:color w:val="000000"/>
          <w:szCs w:val="21"/>
          <w:highlight w:val="none"/>
        </w:rPr>
      </w:pPr>
      <w:r>
        <w:rPr>
          <w:rFonts w:hint="eastAsia" w:ascii="宋体" w:hAnsi="宋体"/>
          <w:color w:val="000000"/>
          <w:szCs w:val="21"/>
          <w:highlight w:val="none"/>
        </w:rPr>
        <w:t>附件四</w:t>
      </w:r>
    </w:p>
    <w:p>
      <w:pPr>
        <w:spacing w:line="480" w:lineRule="exact"/>
        <w:rPr>
          <w:rFonts w:ascii="宋体" w:hAnsi="宋体"/>
          <w:color w:val="000000"/>
          <w:szCs w:val="21"/>
          <w:highlight w:val="none"/>
        </w:rPr>
      </w:pPr>
      <w:r>
        <w:rPr>
          <w:rFonts w:hint="eastAsia" w:ascii="宋体" w:hAnsi="宋体"/>
          <w:color w:val="000000"/>
          <w:szCs w:val="21"/>
          <w:highlight w:val="none"/>
        </w:rPr>
        <w:t>技术文件</w:t>
      </w:r>
    </w:p>
    <w:p>
      <w:pPr>
        <w:spacing w:line="480" w:lineRule="exact"/>
        <w:rPr>
          <w:rFonts w:ascii="宋体" w:hAnsi="宋体"/>
          <w:color w:val="000000"/>
          <w:szCs w:val="21"/>
          <w:highlight w:val="none"/>
        </w:rPr>
      </w:pPr>
      <w:r>
        <w:rPr>
          <w:rFonts w:hint="eastAsia" w:ascii="宋体" w:hAnsi="宋体"/>
          <w:color w:val="000000"/>
          <w:szCs w:val="21"/>
          <w:highlight w:val="none"/>
        </w:rPr>
        <w:t>格式自拟</w:t>
      </w:r>
    </w:p>
    <w:p>
      <w:pPr>
        <w:spacing w:line="480" w:lineRule="exact"/>
        <w:rPr>
          <w:rFonts w:ascii="宋体" w:hAnsi="宋体"/>
          <w:color w:val="000000"/>
          <w:szCs w:val="21"/>
          <w:highlight w:val="none"/>
        </w:rPr>
      </w:pPr>
    </w:p>
    <w:sectPr>
      <w:footerReference r:id="rId4" w:type="default"/>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wis721 BT">
    <w:panose1 w:val="020B0504020202020204"/>
    <w:charset w:val="00"/>
    <w:family w:val="swiss"/>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125126"/>
    </w:sdtPr>
    <w:sdtContent>
      <w:p>
        <w:pPr>
          <w:pStyle w:val="11"/>
          <w:jc w:val="center"/>
        </w:pPr>
        <w:r>
          <w:fldChar w:fldCharType="begin"/>
        </w:r>
        <w:r>
          <w:instrText xml:space="preserve"> PAGE   \* MERGEFORMAT </w:instrText>
        </w:r>
        <w:r>
          <w:fldChar w:fldCharType="separate"/>
        </w:r>
        <w:r>
          <w:rPr>
            <w:lang w:val="zh-CN"/>
          </w:rPr>
          <w:t>7</w:t>
        </w:r>
        <w:r>
          <w:rPr>
            <w:lang w:val="zh-CN"/>
          </w:rP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4ZTRkM2Q2YjM1NmY0MjgyY2Q4MWFhOWUwN2FkYjkifQ=="/>
  </w:docVars>
  <w:rsids>
    <w:rsidRoot w:val="00150BC1"/>
    <w:rsid w:val="00003ED6"/>
    <w:rsid w:val="0000717B"/>
    <w:rsid w:val="000100FA"/>
    <w:rsid w:val="00017C55"/>
    <w:rsid w:val="000200BC"/>
    <w:rsid w:val="00023660"/>
    <w:rsid w:val="00024528"/>
    <w:rsid w:val="000269E6"/>
    <w:rsid w:val="0003433C"/>
    <w:rsid w:val="000431D5"/>
    <w:rsid w:val="00045F29"/>
    <w:rsid w:val="000535A4"/>
    <w:rsid w:val="00057122"/>
    <w:rsid w:val="00061F76"/>
    <w:rsid w:val="00067926"/>
    <w:rsid w:val="00075A6E"/>
    <w:rsid w:val="000775A3"/>
    <w:rsid w:val="000811A4"/>
    <w:rsid w:val="00082E96"/>
    <w:rsid w:val="000904BD"/>
    <w:rsid w:val="00091842"/>
    <w:rsid w:val="000956DD"/>
    <w:rsid w:val="000A06EA"/>
    <w:rsid w:val="000A08EE"/>
    <w:rsid w:val="000C174F"/>
    <w:rsid w:val="000C179D"/>
    <w:rsid w:val="000C3D49"/>
    <w:rsid w:val="000D0EE1"/>
    <w:rsid w:val="000E1EB5"/>
    <w:rsid w:val="000E555D"/>
    <w:rsid w:val="000E7039"/>
    <w:rsid w:val="000F1841"/>
    <w:rsid w:val="000F6042"/>
    <w:rsid w:val="00113F16"/>
    <w:rsid w:val="001153FC"/>
    <w:rsid w:val="00116189"/>
    <w:rsid w:val="00117D49"/>
    <w:rsid w:val="001239C2"/>
    <w:rsid w:val="00137E2B"/>
    <w:rsid w:val="00150BC1"/>
    <w:rsid w:val="00153AED"/>
    <w:rsid w:val="00153D79"/>
    <w:rsid w:val="0015576B"/>
    <w:rsid w:val="001626F9"/>
    <w:rsid w:val="00171748"/>
    <w:rsid w:val="00184DAF"/>
    <w:rsid w:val="001870B7"/>
    <w:rsid w:val="001922BD"/>
    <w:rsid w:val="001963A0"/>
    <w:rsid w:val="001966DA"/>
    <w:rsid w:val="001979D4"/>
    <w:rsid w:val="001A0362"/>
    <w:rsid w:val="001B3F9F"/>
    <w:rsid w:val="001B487E"/>
    <w:rsid w:val="001C31CB"/>
    <w:rsid w:val="001C53B1"/>
    <w:rsid w:val="001C6C48"/>
    <w:rsid w:val="001C7D35"/>
    <w:rsid w:val="001D3C91"/>
    <w:rsid w:val="001D7C05"/>
    <w:rsid w:val="001D7F7F"/>
    <w:rsid w:val="001F41F5"/>
    <w:rsid w:val="001F47D4"/>
    <w:rsid w:val="001F5190"/>
    <w:rsid w:val="001F59B1"/>
    <w:rsid w:val="00204E2F"/>
    <w:rsid w:val="00204F2C"/>
    <w:rsid w:val="00207B50"/>
    <w:rsid w:val="002110F7"/>
    <w:rsid w:val="0022395D"/>
    <w:rsid w:val="00225C05"/>
    <w:rsid w:val="00226BD6"/>
    <w:rsid w:val="00233EC4"/>
    <w:rsid w:val="00245BAA"/>
    <w:rsid w:val="00245F93"/>
    <w:rsid w:val="00250619"/>
    <w:rsid w:val="00253779"/>
    <w:rsid w:val="002543E9"/>
    <w:rsid w:val="00255544"/>
    <w:rsid w:val="00255F8A"/>
    <w:rsid w:val="00256BBC"/>
    <w:rsid w:val="0026316A"/>
    <w:rsid w:val="002738E1"/>
    <w:rsid w:val="002812BF"/>
    <w:rsid w:val="0028383B"/>
    <w:rsid w:val="00286959"/>
    <w:rsid w:val="00286E54"/>
    <w:rsid w:val="00293135"/>
    <w:rsid w:val="002A62F9"/>
    <w:rsid w:val="002A734B"/>
    <w:rsid w:val="002A7FCD"/>
    <w:rsid w:val="002B19A0"/>
    <w:rsid w:val="002B4489"/>
    <w:rsid w:val="002B457E"/>
    <w:rsid w:val="002B783B"/>
    <w:rsid w:val="002C1046"/>
    <w:rsid w:val="002C1BA8"/>
    <w:rsid w:val="002C26B2"/>
    <w:rsid w:val="002C6245"/>
    <w:rsid w:val="002C6E71"/>
    <w:rsid w:val="002D6396"/>
    <w:rsid w:val="002E68F4"/>
    <w:rsid w:val="002E783A"/>
    <w:rsid w:val="002F2F8E"/>
    <w:rsid w:val="002F3D8A"/>
    <w:rsid w:val="002F4024"/>
    <w:rsid w:val="002F45C9"/>
    <w:rsid w:val="002F5F63"/>
    <w:rsid w:val="00302ED0"/>
    <w:rsid w:val="00307E7B"/>
    <w:rsid w:val="003105D6"/>
    <w:rsid w:val="00314EED"/>
    <w:rsid w:val="0031542B"/>
    <w:rsid w:val="00326320"/>
    <w:rsid w:val="00331AF5"/>
    <w:rsid w:val="0033242A"/>
    <w:rsid w:val="00332D92"/>
    <w:rsid w:val="0034140F"/>
    <w:rsid w:val="003446C0"/>
    <w:rsid w:val="00352496"/>
    <w:rsid w:val="0035405F"/>
    <w:rsid w:val="003556A4"/>
    <w:rsid w:val="00356EFA"/>
    <w:rsid w:val="003608EF"/>
    <w:rsid w:val="00361254"/>
    <w:rsid w:val="00361721"/>
    <w:rsid w:val="0036268A"/>
    <w:rsid w:val="00365416"/>
    <w:rsid w:val="00371E14"/>
    <w:rsid w:val="00373FDD"/>
    <w:rsid w:val="00381534"/>
    <w:rsid w:val="0038366F"/>
    <w:rsid w:val="003903F9"/>
    <w:rsid w:val="003934D1"/>
    <w:rsid w:val="003942DC"/>
    <w:rsid w:val="00394E96"/>
    <w:rsid w:val="00395A17"/>
    <w:rsid w:val="003A0810"/>
    <w:rsid w:val="003A13FA"/>
    <w:rsid w:val="003B21E0"/>
    <w:rsid w:val="003B3B85"/>
    <w:rsid w:val="003C241B"/>
    <w:rsid w:val="003C3C55"/>
    <w:rsid w:val="003C6418"/>
    <w:rsid w:val="003D199D"/>
    <w:rsid w:val="003E7549"/>
    <w:rsid w:val="003F1ED8"/>
    <w:rsid w:val="003F584B"/>
    <w:rsid w:val="003F730A"/>
    <w:rsid w:val="00401C35"/>
    <w:rsid w:val="00411A0E"/>
    <w:rsid w:val="00422533"/>
    <w:rsid w:val="00432732"/>
    <w:rsid w:val="004335CF"/>
    <w:rsid w:val="00434EDF"/>
    <w:rsid w:val="00437512"/>
    <w:rsid w:val="00440B4A"/>
    <w:rsid w:val="0044420B"/>
    <w:rsid w:val="00457802"/>
    <w:rsid w:val="00467BB1"/>
    <w:rsid w:val="00472AA4"/>
    <w:rsid w:val="00481DC7"/>
    <w:rsid w:val="0048420B"/>
    <w:rsid w:val="004852FC"/>
    <w:rsid w:val="004871C6"/>
    <w:rsid w:val="004A03D3"/>
    <w:rsid w:val="004A207B"/>
    <w:rsid w:val="004B2854"/>
    <w:rsid w:val="004C1A06"/>
    <w:rsid w:val="004C6125"/>
    <w:rsid w:val="004D702B"/>
    <w:rsid w:val="004E0CF7"/>
    <w:rsid w:val="004F1352"/>
    <w:rsid w:val="004F76B2"/>
    <w:rsid w:val="0050268E"/>
    <w:rsid w:val="00505D23"/>
    <w:rsid w:val="00511606"/>
    <w:rsid w:val="00512CE8"/>
    <w:rsid w:val="00517C0B"/>
    <w:rsid w:val="00524BC4"/>
    <w:rsid w:val="00525E80"/>
    <w:rsid w:val="00531085"/>
    <w:rsid w:val="00534372"/>
    <w:rsid w:val="00553EDA"/>
    <w:rsid w:val="00563C1C"/>
    <w:rsid w:val="00565D41"/>
    <w:rsid w:val="0056651F"/>
    <w:rsid w:val="00567AAE"/>
    <w:rsid w:val="00572332"/>
    <w:rsid w:val="005727D1"/>
    <w:rsid w:val="005738E6"/>
    <w:rsid w:val="00575DFC"/>
    <w:rsid w:val="005816D9"/>
    <w:rsid w:val="0058307C"/>
    <w:rsid w:val="00586884"/>
    <w:rsid w:val="005875BD"/>
    <w:rsid w:val="00594DB5"/>
    <w:rsid w:val="005A577A"/>
    <w:rsid w:val="005A7482"/>
    <w:rsid w:val="005C5394"/>
    <w:rsid w:val="005C6557"/>
    <w:rsid w:val="005D60D7"/>
    <w:rsid w:val="005D74CD"/>
    <w:rsid w:val="005E4FB6"/>
    <w:rsid w:val="005E679B"/>
    <w:rsid w:val="005E77A8"/>
    <w:rsid w:val="005E7ADC"/>
    <w:rsid w:val="005F39A2"/>
    <w:rsid w:val="005F496F"/>
    <w:rsid w:val="00604EDC"/>
    <w:rsid w:val="00611B56"/>
    <w:rsid w:val="006123CF"/>
    <w:rsid w:val="00613307"/>
    <w:rsid w:val="00614361"/>
    <w:rsid w:val="0061476F"/>
    <w:rsid w:val="0062671A"/>
    <w:rsid w:val="00634ABE"/>
    <w:rsid w:val="00640123"/>
    <w:rsid w:val="0064314D"/>
    <w:rsid w:val="006471FE"/>
    <w:rsid w:val="00650479"/>
    <w:rsid w:val="006508A3"/>
    <w:rsid w:val="006578C5"/>
    <w:rsid w:val="00662291"/>
    <w:rsid w:val="0066322A"/>
    <w:rsid w:val="00676240"/>
    <w:rsid w:val="00685290"/>
    <w:rsid w:val="00693C80"/>
    <w:rsid w:val="00694ACE"/>
    <w:rsid w:val="006A4B20"/>
    <w:rsid w:val="006A7ADE"/>
    <w:rsid w:val="006B0375"/>
    <w:rsid w:val="006B0E03"/>
    <w:rsid w:val="006B6D50"/>
    <w:rsid w:val="006D2525"/>
    <w:rsid w:val="006D3894"/>
    <w:rsid w:val="006D4AFF"/>
    <w:rsid w:val="006E0C67"/>
    <w:rsid w:val="006E166C"/>
    <w:rsid w:val="006E18F4"/>
    <w:rsid w:val="006E5698"/>
    <w:rsid w:val="006E7A74"/>
    <w:rsid w:val="006F5A86"/>
    <w:rsid w:val="00702466"/>
    <w:rsid w:val="00707F36"/>
    <w:rsid w:val="00711C6A"/>
    <w:rsid w:val="007216B1"/>
    <w:rsid w:val="0072336F"/>
    <w:rsid w:val="007245CF"/>
    <w:rsid w:val="00727784"/>
    <w:rsid w:val="0073051A"/>
    <w:rsid w:val="0073190D"/>
    <w:rsid w:val="007476FB"/>
    <w:rsid w:val="007508D4"/>
    <w:rsid w:val="00762A8D"/>
    <w:rsid w:val="00765730"/>
    <w:rsid w:val="007720D2"/>
    <w:rsid w:val="007810AD"/>
    <w:rsid w:val="00791207"/>
    <w:rsid w:val="007936AC"/>
    <w:rsid w:val="0079740D"/>
    <w:rsid w:val="007978E6"/>
    <w:rsid w:val="007A01EA"/>
    <w:rsid w:val="007A403D"/>
    <w:rsid w:val="007A6D35"/>
    <w:rsid w:val="007A6D9A"/>
    <w:rsid w:val="007B1D3B"/>
    <w:rsid w:val="007B1E5E"/>
    <w:rsid w:val="007B5B87"/>
    <w:rsid w:val="007C0026"/>
    <w:rsid w:val="007C752F"/>
    <w:rsid w:val="007D1B6D"/>
    <w:rsid w:val="007D1E41"/>
    <w:rsid w:val="007E6F92"/>
    <w:rsid w:val="007F2D9E"/>
    <w:rsid w:val="007F43D8"/>
    <w:rsid w:val="007F5FE5"/>
    <w:rsid w:val="0080149C"/>
    <w:rsid w:val="0080183B"/>
    <w:rsid w:val="00802463"/>
    <w:rsid w:val="008027E0"/>
    <w:rsid w:val="0080616B"/>
    <w:rsid w:val="00810906"/>
    <w:rsid w:val="0081703A"/>
    <w:rsid w:val="00822855"/>
    <w:rsid w:val="008233CE"/>
    <w:rsid w:val="008235DC"/>
    <w:rsid w:val="0082383B"/>
    <w:rsid w:val="008251B6"/>
    <w:rsid w:val="008359C6"/>
    <w:rsid w:val="008363F8"/>
    <w:rsid w:val="008449CD"/>
    <w:rsid w:val="008531A9"/>
    <w:rsid w:val="00856D3C"/>
    <w:rsid w:val="00867658"/>
    <w:rsid w:val="00872226"/>
    <w:rsid w:val="0088283D"/>
    <w:rsid w:val="00883E3E"/>
    <w:rsid w:val="00886B79"/>
    <w:rsid w:val="00887550"/>
    <w:rsid w:val="008902F6"/>
    <w:rsid w:val="008904D1"/>
    <w:rsid w:val="00892D03"/>
    <w:rsid w:val="008956F3"/>
    <w:rsid w:val="008A11F5"/>
    <w:rsid w:val="008A1215"/>
    <w:rsid w:val="008A18C1"/>
    <w:rsid w:val="008B21A8"/>
    <w:rsid w:val="008B5FD7"/>
    <w:rsid w:val="008B6386"/>
    <w:rsid w:val="008B6682"/>
    <w:rsid w:val="008D194E"/>
    <w:rsid w:val="008D2395"/>
    <w:rsid w:val="008D25C5"/>
    <w:rsid w:val="008D3B8D"/>
    <w:rsid w:val="008E35DB"/>
    <w:rsid w:val="008E7366"/>
    <w:rsid w:val="00905BDF"/>
    <w:rsid w:val="00907763"/>
    <w:rsid w:val="0091624D"/>
    <w:rsid w:val="00921E7C"/>
    <w:rsid w:val="00923558"/>
    <w:rsid w:val="009466B2"/>
    <w:rsid w:val="009469D3"/>
    <w:rsid w:val="00951458"/>
    <w:rsid w:val="00951F50"/>
    <w:rsid w:val="00952893"/>
    <w:rsid w:val="0095547F"/>
    <w:rsid w:val="009578A4"/>
    <w:rsid w:val="009606A9"/>
    <w:rsid w:val="00967116"/>
    <w:rsid w:val="009720B1"/>
    <w:rsid w:val="009A125C"/>
    <w:rsid w:val="009A4FDF"/>
    <w:rsid w:val="009B36EE"/>
    <w:rsid w:val="009B5F38"/>
    <w:rsid w:val="009B6DDA"/>
    <w:rsid w:val="009C0C2A"/>
    <w:rsid w:val="009C54ED"/>
    <w:rsid w:val="009C75BC"/>
    <w:rsid w:val="009C7F75"/>
    <w:rsid w:val="009D2C20"/>
    <w:rsid w:val="009D3844"/>
    <w:rsid w:val="009D4253"/>
    <w:rsid w:val="009E425F"/>
    <w:rsid w:val="009E44DE"/>
    <w:rsid w:val="009E746E"/>
    <w:rsid w:val="009E7D48"/>
    <w:rsid w:val="009F17D3"/>
    <w:rsid w:val="00A00515"/>
    <w:rsid w:val="00A01708"/>
    <w:rsid w:val="00A03484"/>
    <w:rsid w:val="00A073A5"/>
    <w:rsid w:val="00A13F77"/>
    <w:rsid w:val="00A1565E"/>
    <w:rsid w:val="00A22656"/>
    <w:rsid w:val="00A23383"/>
    <w:rsid w:val="00A23E81"/>
    <w:rsid w:val="00A26511"/>
    <w:rsid w:val="00A34A08"/>
    <w:rsid w:val="00A36CAC"/>
    <w:rsid w:val="00A42E37"/>
    <w:rsid w:val="00A43757"/>
    <w:rsid w:val="00A54800"/>
    <w:rsid w:val="00A610DE"/>
    <w:rsid w:val="00A65B8B"/>
    <w:rsid w:val="00A662FC"/>
    <w:rsid w:val="00A670DB"/>
    <w:rsid w:val="00A72CBD"/>
    <w:rsid w:val="00A84D0A"/>
    <w:rsid w:val="00A90BB1"/>
    <w:rsid w:val="00A931F0"/>
    <w:rsid w:val="00A93A2A"/>
    <w:rsid w:val="00A943C8"/>
    <w:rsid w:val="00AB365E"/>
    <w:rsid w:val="00AB5E19"/>
    <w:rsid w:val="00AB68C3"/>
    <w:rsid w:val="00AB6B1D"/>
    <w:rsid w:val="00AC5208"/>
    <w:rsid w:val="00AC5679"/>
    <w:rsid w:val="00AD083E"/>
    <w:rsid w:val="00AD19F7"/>
    <w:rsid w:val="00AD66E4"/>
    <w:rsid w:val="00AE3D29"/>
    <w:rsid w:val="00AE7AE4"/>
    <w:rsid w:val="00AF078C"/>
    <w:rsid w:val="00AF1CEA"/>
    <w:rsid w:val="00AF2DC8"/>
    <w:rsid w:val="00B0724D"/>
    <w:rsid w:val="00B0742D"/>
    <w:rsid w:val="00B12801"/>
    <w:rsid w:val="00B15B4E"/>
    <w:rsid w:val="00B2209A"/>
    <w:rsid w:val="00B23BA6"/>
    <w:rsid w:val="00B315EA"/>
    <w:rsid w:val="00B3402F"/>
    <w:rsid w:val="00B426AC"/>
    <w:rsid w:val="00B45065"/>
    <w:rsid w:val="00B5136D"/>
    <w:rsid w:val="00B62012"/>
    <w:rsid w:val="00B62535"/>
    <w:rsid w:val="00B71503"/>
    <w:rsid w:val="00B72402"/>
    <w:rsid w:val="00B91B33"/>
    <w:rsid w:val="00BA23B4"/>
    <w:rsid w:val="00BA3033"/>
    <w:rsid w:val="00BA57B3"/>
    <w:rsid w:val="00BA65A4"/>
    <w:rsid w:val="00BA70E5"/>
    <w:rsid w:val="00BB130E"/>
    <w:rsid w:val="00BB58BF"/>
    <w:rsid w:val="00BC10BE"/>
    <w:rsid w:val="00BC1805"/>
    <w:rsid w:val="00BC1CD4"/>
    <w:rsid w:val="00BC5473"/>
    <w:rsid w:val="00BE2C66"/>
    <w:rsid w:val="00BE521B"/>
    <w:rsid w:val="00BF0032"/>
    <w:rsid w:val="00BF2D5D"/>
    <w:rsid w:val="00BF69DD"/>
    <w:rsid w:val="00C001C0"/>
    <w:rsid w:val="00C13847"/>
    <w:rsid w:val="00C150AE"/>
    <w:rsid w:val="00C16469"/>
    <w:rsid w:val="00C376FF"/>
    <w:rsid w:val="00C43587"/>
    <w:rsid w:val="00C65480"/>
    <w:rsid w:val="00C76A9F"/>
    <w:rsid w:val="00C85ADD"/>
    <w:rsid w:val="00C90DE7"/>
    <w:rsid w:val="00C9360D"/>
    <w:rsid w:val="00C93B53"/>
    <w:rsid w:val="00C9785F"/>
    <w:rsid w:val="00CB63ED"/>
    <w:rsid w:val="00CC1929"/>
    <w:rsid w:val="00CC2C16"/>
    <w:rsid w:val="00CD2948"/>
    <w:rsid w:val="00CD3B9E"/>
    <w:rsid w:val="00CD7DD8"/>
    <w:rsid w:val="00CE40B4"/>
    <w:rsid w:val="00CF0610"/>
    <w:rsid w:val="00CF0B81"/>
    <w:rsid w:val="00CF487F"/>
    <w:rsid w:val="00CF683D"/>
    <w:rsid w:val="00D01A89"/>
    <w:rsid w:val="00D044D0"/>
    <w:rsid w:val="00D1002B"/>
    <w:rsid w:val="00D10F21"/>
    <w:rsid w:val="00D13A46"/>
    <w:rsid w:val="00D43162"/>
    <w:rsid w:val="00D53959"/>
    <w:rsid w:val="00D57261"/>
    <w:rsid w:val="00D6605D"/>
    <w:rsid w:val="00D67FAB"/>
    <w:rsid w:val="00D700BB"/>
    <w:rsid w:val="00D722F2"/>
    <w:rsid w:val="00D77521"/>
    <w:rsid w:val="00D80A81"/>
    <w:rsid w:val="00D82E8A"/>
    <w:rsid w:val="00D848FD"/>
    <w:rsid w:val="00DA1864"/>
    <w:rsid w:val="00DA294E"/>
    <w:rsid w:val="00DB128A"/>
    <w:rsid w:val="00DB3BEC"/>
    <w:rsid w:val="00DC18B2"/>
    <w:rsid w:val="00DC278B"/>
    <w:rsid w:val="00DC4818"/>
    <w:rsid w:val="00DD3061"/>
    <w:rsid w:val="00DF02D5"/>
    <w:rsid w:val="00E07D00"/>
    <w:rsid w:val="00E07D1D"/>
    <w:rsid w:val="00E12D94"/>
    <w:rsid w:val="00E20802"/>
    <w:rsid w:val="00E21C8A"/>
    <w:rsid w:val="00E220EB"/>
    <w:rsid w:val="00E3168B"/>
    <w:rsid w:val="00E40E7C"/>
    <w:rsid w:val="00E40F80"/>
    <w:rsid w:val="00E422E7"/>
    <w:rsid w:val="00E45CBF"/>
    <w:rsid w:val="00E51C35"/>
    <w:rsid w:val="00E55536"/>
    <w:rsid w:val="00E81197"/>
    <w:rsid w:val="00E83118"/>
    <w:rsid w:val="00E851BA"/>
    <w:rsid w:val="00E86178"/>
    <w:rsid w:val="00EA0E8D"/>
    <w:rsid w:val="00EA177F"/>
    <w:rsid w:val="00EA64C0"/>
    <w:rsid w:val="00EB030F"/>
    <w:rsid w:val="00EB03A8"/>
    <w:rsid w:val="00ED25E8"/>
    <w:rsid w:val="00EF7CEB"/>
    <w:rsid w:val="00F01D67"/>
    <w:rsid w:val="00F11ACC"/>
    <w:rsid w:val="00F21BBD"/>
    <w:rsid w:val="00F2755B"/>
    <w:rsid w:val="00F3063F"/>
    <w:rsid w:val="00F35CAC"/>
    <w:rsid w:val="00F35E77"/>
    <w:rsid w:val="00F42849"/>
    <w:rsid w:val="00F42C15"/>
    <w:rsid w:val="00F447ED"/>
    <w:rsid w:val="00F47B67"/>
    <w:rsid w:val="00F47BE1"/>
    <w:rsid w:val="00F561A0"/>
    <w:rsid w:val="00F623C1"/>
    <w:rsid w:val="00F6277B"/>
    <w:rsid w:val="00F6406B"/>
    <w:rsid w:val="00F8401A"/>
    <w:rsid w:val="00F90B47"/>
    <w:rsid w:val="00F91633"/>
    <w:rsid w:val="00F92650"/>
    <w:rsid w:val="00F93B8B"/>
    <w:rsid w:val="00F97059"/>
    <w:rsid w:val="00FA6B98"/>
    <w:rsid w:val="00FB3522"/>
    <w:rsid w:val="00FB506C"/>
    <w:rsid w:val="00FB65E5"/>
    <w:rsid w:val="00FC0938"/>
    <w:rsid w:val="00FC733A"/>
    <w:rsid w:val="00FE25B0"/>
    <w:rsid w:val="00FE2F39"/>
    <w:rsid w:val="00FF2454"/>
    <w:rsid w:val="00FF711F"/>
    <w:rsid w:val="00FF79BD"/>
    <w:rsid w:val="0A1246B0"/>
    <w:rsid w:val="0B3F14D4"/>
    <w:rsid w:val="0EA33B28"/>
    <w:rsid w:val="0EFA3365"/>
    <w:rsid w:val="104F7772"/>
    <w:rsid w:val="17CE4D52"/>
    <w:rsid w:val="1B641070"/>
    <w:rsid w:val="21FD6B34"/>
    <w:rsid w:val="229D0946"/>
    <w:rsid w:val="2BF81500"/>
    <w:rsid w:val="2E642E7C"/>
    <w:rsid w:val="2F033F15"/>
    <w:rsid w:val="312430A9"/>
    <w:rsid w:val="319E0453"/>
    <w:rsid w:val="356D0135"/>
    <w:rsid w:val="3579545F"/>
    <w:rsid w:val="3EA23AC2"/>
    <w:rsid w:val="41B97839"/>
    <w:rsid w:val="43251412"/>
    <w:rsid w:val="473D6778"/>
    <w:rsid w:val="48623B31"/>
    <w:rsid w:val="4DF86CCA"/>
    <w:rsid w:val="50F43794"/>
    <w:rsid w:val="51F77D5D"/>
    <w:rsid w:val="52996E86"/>
    <w:rsid w:val="57723665"/>
    <w:rsid w:val="5B7619ED"/>
    <w:rsid w:val="5C1169E4"/>
    <w:rsid w:val="5C8005D2"/>
    <w:rsid w:val="5D600B2F"/>
    <w:rsid w:val="5F980CB3"/>
    <w:rsid w:val="60356884"/>
    <w:rsid w:val="62EE40D6"/>
    <w:rsid w:val="631E5B99"/>
    <w:rsid w:val="65BD63F3"/>
    <w:rsid w:val="67DA3E2F"/>
    <w:rsid w:val="6C16685D"/>
    <w:rsid w:val="730F68EF"/>
    <w:rsid w:val="73486CB1"/>
    <w:rsid w:val="735F75A6"/>
    <w:rsid w:val="73AA2676"/>
    <w:rsid w:val="75703482"/>
    <w:rsid w:val="77AA4606"/>
    <w:rsid w:val="77CD5B00"/>
    <w:rsid w:val="79144124"/>
    <w:rsid w:val="79674B9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2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5">
    <w:name w:val="heading 2"/>
    <w:basedOn w:val="1"/>
    <w:next w:val="1"/>
    <w:link w:val="23"/>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6"/>
    <w:basedOn w:val="1"/>
    <w:next w:val="1"/>
    <w:link w:val="26"/>
    <w:qFormat/>
    <w:uiPriority w:val="9"/>
    <w:pPr>
      <w:widowControl/>
      <w:spacing w:before="100" w:beforeAutospacing="1" w:after="100" w:afterAutospacing="1"/>
      <w:jc w:val="left"/>
      <w:outlineLvl w:val="5"/>
    </w:pPr>
    <w:rPr>
      <w:rFonts w:ascii="宋体" w:hAnsi="宋体" w:eastAsia="宋体" w:cs="宋体"/>
      <w:b/>
      <w:bCs/>
      <w:kern w:val="0"/>
      <w:sz w:val="15"/>
      <w:szCs w:val="15"/>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next w:val="1"/>
    <w:link w:val="37"/>
    <w:semiHidden/>
    <w:unhideWhenUsed/>
    <w:qFormat/>
    <w:uiPriority w:val="99"/>
    <w:pPr>
      <w:spacing w:after="120"/>
    </w:pPr>
  </w:style>
  <w:style w:type="paragraph" w:styleId="7">
    <w:name w:val="annotation text"/>
    <w:basedOn w:val="1"/>
    <w:link w:val="28"/>
    <w:semiHidden/>
    <w:unhideWhenUsed/>
    <w:qFormat/>
    <w:uiPriority w:val="99"/>
    <w:pPr>
      <w:jc w:val="left"/>
    </w:pPr>
  </w:style>
  <w:style w:type="paragraph" w:styleId="8">
    <w:name w:val="Body Text Indent"/>
    <w:basedOn w:val="1"/>
    <w:link w:val="31"/>
    <w:qFormat/>
    <w:uiPriority w:val="0"/>
    <w:pPr>
      <w:ind w:firstLine="830" w:firstLineChars="352"/>
    </w:pPr>
    <w:rPr>
      <w:rFonts w:ascii="仿宋_GB2312" w:eastAsia="仿宋_GB2312"/>
      <w:sz w:val="32"/>
    </w:rPr>
  </w:style>
  <w:style w:type="paragraph" w:styleId="9">
    <w:name w:val="Plain Text"/>
    <w:basedOn w:val="1"/>
    <w:link w:val="32"/>
    <w:qFormat/>
    <w:uiPriority w:val="0"/>
    <w:rPr>
      <w:rFonts w:ascii="宋体" w:hAnsi="Courier New" w:eastAsia="宋体" w:cs="Courier New"/>
      <w:szCs w:val="21"/>
    </w:rPr>
  </w:style>
  <w:style w:type="paragraph" w:styleId="10">
    <w:name w:val="Balloon Text"/>
    <w:basedOn w:val="1"/>
    <w:link w:val="30"/>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before="154"/>
      <w:ind w:left="6"/>
    </w:pPr>
    <w:rPr>
      <w:rFonts w:ascii="宋体" w:hAnsi="宋体" w:eastAsia="宋体"/>
      <w:sz w:val="24"/>
      <w:szCs w:val="24"/>
    </w:rPr>
  </w:style>
  <w:style w:type="paragraph" w:styleId="1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annotation subject"/>
    <w:basedOn w:val="7"/>
    <w:next w:val="7"/>
    <w:link w:val="29"/>
    <w:semiHidden/>
    <w:unhideWhenUsed/>
    <w:qFormat/>
    <w:uiPriority w:val="99"/>
    <w:rPr>
      <w:b/>
      <w:bCs/>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22"/>
    <w:rPr>
      <w:b/>
      <w:bCs/>
    </w:rPr>
  </w:style>
  <w:style w:type="character" w:styleId="20">
    <w:name w:val="Hyperlink"/>
    <w:basedOn w:val="18"/>
    <w:unhideWhenUsed/>
    <w:qFormat/>
    <w:uiPriority w:val="99"/>
    <w:rPr>
      <w:color w:val="0000FF"/>
      <w:u w:val="single"/>
    </w:rPr>
  </w:style>
  <w:style w:type="character" w:styleId="21">
    <w:name w:val="annotation reference"/>
    <w:basedOn w:val="18"/>
    <w:semiHidden/>
    <w:unhideWhenUsed/>
    <w:qFormat/>
    <w:uiPriority w:val="99"/>
    <w:rPr>
      <w:sz w:val="21"/>
      <w:szCs w:val="21"/>
    </w:rPr>
  </w:style>
  <w:style w:type="character" w:customStyle="1" w:styleId="22">
    <w:name w:val="标题 1 Char"/>
    <w:basedOn w:val="18"/>
    <w:link w:val="4"/>
    <w:qFormat/>
    <w:uiPriority w:val="9"/>
    <w:rPr>
      <w:rFonts w:ascii="宋体" w:hAnsi="宋体" w:eastAsia="宋体" w:cs="宋体"/>
      <w:b/>
      <w:bCs/>
      <w:kern w:val="36"/>
      <w:sz w:val="48"/>
      <w:szCs w:val="48"/>
    </w:rPr>
  </w:style>
  <w:style w:type="character" w:customStyle="1" w:styleId="23">
    <w:name w:val="标题 2 Char"/>
    <w:basedOn w:val="18"/>
    <w:link w:val="5"/>
    <w:semiHidden/>
    <w:qFormat/>
    <w:uiPriority w:val="9"/>
    <w:rPr>
      <w:rFonts w:asciiTheme="majorHAnsi" w:hAnsiTheme="majorHAnsi" w:eastAsiaTheme="majorEastAsia" w:cstheme="majorBidi"/>
      <w:b/>
      <w:bCs/>
      <w:sz w:val="32"/>
      <w:szCs w:val="32"/>
    </w:rPr>
  </w:style>
  <w:style w:type="character" w:customStyle="1" w:styleId="24">
    <w:name w:val="页眉 Char"/>
    <w:basedOn w:val="18"/>
    <w:link w:val="12"/>
    <w:qFormat/>
    <w:uiPriority w:val="99"/>
    <w:rPr>
      <w:sz w:val="18"/>
      <w:szCs w:val="18"/>
    </w:rPr>
  </w:style>
  <w:style w:type="character" w:customStyle="1" w:styleId="25">
    <w:name w:val="页脚 Char"/>
    <w:basedOn w:val="18"/>
    <w:link w:val="11"/>
    <w:qFormat/>
    <w:uiPriority w:val="99"/>
    <w:rPr>
      <w:sz w:val="18"/>
      <w:szCs w:val="18"/>
    </w:rPr>
  </w:style>
  <w:style w:type="character" w:customStyle="1" w:styleId="26">
    <w:name w:val="标题 6 Char"/>
    <w:basedOn w:val="18"/>
    <w:link w:val="6"/>
    <w:qFormat/>
    <w:uiPriority w:val="9"/>
    <w:rPr>
      <w:rFonts w:ascii="宋体" w:hAnsi="宋体" w:eastAsia="宋体" w:cs="宋体"/>
      <w:b/>
      <w:bCs/>
      <w:kern w:val="0"/>
      <w:sz w:val="15"/>
      <w:szCs w:val="15"/>
    </w:rPr>
  </w:style>
  <w:style w:type="character" w:customStyle="1" w:styleId="27">
    <w:name w:val="wp_visitcount"/>
    <w:basedOn w:val="18"/>
    <w:qFormat/>
    <w:uiPriority w:val="0"/>
  </w:style>
  <w:style w:type="character" w:customStyle="1" w:styleId="28">
    <w:name w:val="批注文字 Char"/>
    <w:basedOn w:val="18"/>
    <w:link w:val="7"/>
    <w:semiHidden/>
    <w:qFormat/>
    <w:uiPriority w:val="99"/>
  </w:style>
  <w:style w:type="character" w:customStyle="1" w:styleId="29">
    <w:name w:val="批注主题 Char"/>
    <w:basedOn w:val="28"/>
    <w:link w:val="15"/>
    <w:semiHidden/>
    <w:qFormat/>
    <w:uiPriority w:val="99"/>
    <w:rPr>
      <w:b/>
      <w:bCs/>
    </w:rPr>
  </w:style>
  <w:style w:type="character" w:customStyle="1" w:styleId="30">
    <w:name w:val="批注框文本 Char"/>
    <w:basedOn w:val="18"/>
    <w:link w:val="10"/>
    <w:semiHidden/>
    <w:qFormat/>
    <w:uiPriority w:val="99"/>
    <w:rPr>
      <w:sz w:val="18"/>
      <w:szCs w:val="18"/>
    </w:rPr>
  </w:style>
  <w:style w:type="character" w:customStyle="1" w:styleId="31">
    <w:name w:val="正文文本缩进 Char1"/>
    <w:link w:val="8"/>
    <w:qFormat/>
    <w:uiPriority w:val="0"/>
    <w:rPr>
      <w:rFonts w:ascii="仿宋_GB2312" w:eastAsia="仿宋_GB2312"/>
      <w:sz w:val="32"/>
    </w:rPr>
  </w:style>
  <w:style w:type="character" w:customStyle="1" w:styleId="32">
    <w:name w:val="纯文本 Char"/>
    <w:link w:val="9"/>
    <w:qFormat/>
    <w:uiPriority w:val="0"/>
    <w:rPr>
      <w:rFonts w:ascii="宋体" w:hAnsi="Courier New" w:eastAsia="宋体" w:cs="Courier New"/>
      <w:szCs w:val="21"/>
    </w:rPr>
  </w:style>
  <w:style w:type="character" w:customStyle="1" w:styleId="33">
    <w:name w:val="正文文本缩进 Char"/>
    <w:basedOn w:val="18"/>
    <w:semiHidden/>
    <w:qFormat/>
    <w:uiPriority w:val="99"/>
  </w:style>
  <w:style w:type="character" w:customStyle="1" w:styleId="34">
    <w:name w:val="纯文本 Char1"/>
    <w:basedOn w:val="18"/>
    <w:semiHidden/>
    <w:qFormat/>
    <w:uiPriority w:val="99"/>
    <w:rPr>
      <w:rFonts w:ascii="宋体" w:hAnsi="Courier New" w:eastAsia="宋体" w:cs="Courier New"/>
      <w:szCs w:val="21"/>
    </w:rPr>
  </w:style>
  <w:style w:type="paragraph" w:customStyle="1" w:styleId="35">
    <w:name w:val="表格文字"/>
    <w:basedOn w:val="1"/>
    <w:next w:val="1"/>
    <w:qFormat/>
    <w:uiPriority w:val="0"/>
    <w:pPr>
      <w:jc w:val="left"/>
    </w:pPr>
    <w:rPr>
      <w:rFonts w:ascii="宋体" w:hAnsi="宋体" w:eastAsia="宋体" w:cs="宋体"/>
      <w:kern w:val="0"/>
      <w:sz w:val="24"/>
      <w:szCs w:val="20"/>
    </w:rPr>
  </w:style>
  <w:style w:type="paragraph" w:styleId="36">
    <w:name w:val="List Paragraph"/>
    <w:basedOn w:val="1"/>
    <w:qFormat/>
    <w:uiPriority w:val="34"/>
    <w:pPr>
      <w:spacing w:line="360" w:lineRule="auto"/>
      <w:ind w:firstLine="420" w:firstLineChars="200"/>
      <w:jc w:val="left"/>
    </w:pPr>
    <w:rPr>
      <w:rFonts w:ascii="宋体" w:hAnsi="宋体" w:eastAsia="宋体" w:cs="宋体"/>
      <w:kern w:val="0"/>
      <w:sz w:val="24"/>
      <w:szCs w:val="20"/>
    </w:rPr>
  </w:style>
  <w:style w:type="character" w:customStyle="1" w:styleId="37">
    <w:name w:val="正文文本 Char"/>
    <w:basedOn w:val="18"/>
    <w:link w:val="3"/>
    <w:semiHidden/>
    <w:qFormat/>
    <w:uiPriority w:val="99"/>
    <w:rPr>
      <w:kern w:val="2"/>
      <w:sz w:val="21"/>
      <w:szCs w:val="22"/>
    </w:rPr>
  </w:style>
  <w:style w:type="paragraph" w:customStyle="1" w:styleId="38">
    <w:name w:val="Table Paragraph"/>
    <w:basedOn w:val="1"/>
    <w:qFormat/>
    <w:uiPriority w:val="1"/>
    <w:pPr>
      <w:jc w:val="left"/>
    </w:pPr>
    <w:rPr>
      <w:rFonts w:ascii="Calibri" w:hAnsi="Calibri" w:eastAsia="宋体" w:cs="Times New Roman"/>
      <w:kern w:val="0"/>
      <w:sz w:val="22"/>
      <w:lang w:eastAsia="en-US"/>
    </w:rPr>
  </w:style>
  <w:style w:type="table" w:customStyle="1" w:styleId="39">
    <w:name w:val="Table Normal"/>
    <w:semiHidden/>
    <w:unhideWhenUsed/>
    <w:qFormat/>
    <w:uiPriority w:val="2"/>
    <w:tblPr>
      <w:tblCellMar>
        <w:top w:w="0" w:type="dxa"/>
        <w:left w:w="0" w:type="dxa"/>
        <w:bottom w:w="0" w:type="dxa"/>
        <w:right w:w="0" w:type="dxa"/>
      </w:tblCellMar>
    </w:tblPr>
  </w:style>
  <w:style w:type="paragraph" w:customStyle="1" w:styleId="40">
    <w:name w:val="样式10"/>
    <w:basedOn w:val="1"/>
    <w:qFormat/>
    <w:uiPriority w:val="0"/>
    <w:pPr>
      <w:adjustRightInd w:val="0"/>
      <w:snapToGrid w:val="0"/>
      <w:spacing w:before="120" w:beforeLines="50" w:after="120" w:afterLines="50" w:line="355" w:lineRule="auto"/>
      <w:outlineLvl w:val="1"/>
    </w:pPr>
    <w:rPr>
      <w:rFonts w:ascii="Swis721 BT" w:hAnsi="Swis721 BT" w:eastAsia="黑体"/>
      <w:snapToGrid w:val="0"/>
      <w:sz w:val="32"/>
      <w:szCs w:val="32"/>
    </w:rPr>
  </w:style>
  <w:style w:type="paragraph" w:styleId="41">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91FE1B-0ED3-4777-8474-0EA175D5274D}">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3931</Words>
  <Characters>4360</Characters>
  <Lines>31</Lines>
  <Paragraphs>8</Paragraphs>
  <TotalTime>155</TotalTime>
  <ScaleCrop>false</ScaleCrop>
  <LinksUpToDate>false</LinksUpToDate>
  <CharactersWithSpaces>4411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2022-04-25T02:08:00Z</dcterms:created>
  <dc:creator>ASUS</dc:creator>
  <cp:lastModifiedBy>冲，俊！</cp:lastModifiedBy>
  <cp:lastPrinted>2022-09-09T04:19:03Z</cp:lastPrinted>
  <dcterms:modified xsi:type="dcterms:W3CDTF">2022-09-09T07:49:15Z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FF5155A9AE1C489B8A59F4A485C5DE8B</vt:lpwstr>
  </property>
</Properties>
</file>