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华文中宋" w:eastAsia="黑体" w:cs="Times New Roman"/>
          <w:b/>
          <w:sz w:val="44"/>
          <w:szCs w:val="44"/>
        </w:rPr>
      </w:pPr>
      <w:r>
        <w:rPr>
          <w:rFonts w:hint="eastAsia" w:asciiTheme="minorEastAsia" w:hAnsiTheme="minorEastAsia" w:eastAsiaTheme="minorEastAsia" w:cstheme="minorEastAsia"/>
          <w:b/>
          <w:sz w:val="36"/>
          <w:szCs w:val="36"/>
        </w:rPr>
        <w:t>湖北工程职业学院新校区</w:t>
      </w:r>
      <w:r>
        <w:rPr>
          <w:rFonts w:hint="eastAsia" w:asciiTheme="minorEastAsia" w:hAnsiTheme="minorEastAsia" w:cstheme="minorEastAsia"/>
          <w:b/>
          <w:sz w:val="36"/>
          <w:szCs w:val="36"/>
          <w:lang w:eastAsia="zh-CN"/>
        </w:rPr>
        <w:t>新增七人间学生宿舍</w:t>
      </w:r>
      <w:r>
        <w:rPr>
          <w:rFonts w:hint="eastAsia" w:asciiTheme="minorEastAsia" w:hAnsiTheme="minorEastAsia" w:eastAsiaTheme="minorEastAsia" w:cstheme="minorEastAsia"/>
          <w:b/>
          <w:sz w:val="36"/>
          <w:szCs w:val="36"/>
        </w:rPr>
        <w:t>床采购</w:t>
      </w:r>
      <w:r>
        <w:rPr>
          <w:rFonts w:hint="eastAsia" w:asciiTheme="minorEastAsia" w:hAnsiTheme="minorEastAsia" w:cstheme="minorEastAsia"/>
          <w:b/>
          <w:sz w:val="36"/>
          <w:szCs w:val="36"/>
          <w:lang w:eastAsia="zh-CN"/>
        </w:rPr>
        <w:t>安装</w:t>
      </w:r>
      <w:r>
        <w:rPr>
          <w:rFonts w:hint="eastAsia" w:asciiTheme="minorEastAsia" w:hAnsiTheme="minorEastAsia" w:eastAsiaTheme="minorEastAsia" w:cstheme="minorEastAsia"/>
          <w:b/>
          <w:sz w:val="36"/>
          <w:szCs w:val="36"/>
        </w:rPr>
        <w:t>项目遴选公告</w:t>
      </w:r>
      <w:r>
        <w:rPr>
          <w:rFonts w:hint="eastAsia" w:ascii="黑体" w:hAnsi="华文中宋" w:eastAsia="黑体" w:cs="Times New Roman"/>
          <w:b/>
          <w:sz w:val="44"/>
          <w:szCs w:val="44"/>
        </w:rPr>
        <w:t xml:space="preserve"> </w:t>
      </w:r>
    </w:p>
    <w:p>
      <w:pPr>
        <w:widowControl/>
        <w:shd w:val="clear" w:color="auto" w:fill="FFFFFF"/>
        <w:spacing w:line="360" w:lineRule="auto"/>
        <w:ind w:firstLine="420" w:firstLineChars="200"/>
        <w:rPr>
          <w:rFonts w:hint="eastAsia" w:ascii="宋体" w:hAnsi="宋体" w:cs="宋体"/>
          <w:kern w:val="0"/>
          <w:szCs w:val="21"/>
        </w:rPr>
      </w:pPr>
    </w:p>
    <w:p>
      <w:pPr>
        <w:widowControl/>
        <w:shd w:val="clear" w:color="auto" w:fill="FFFFFF"/>
        <w:spacing w:line="360" w:lineRule="auto"/>
        <w:ind w:firstLine="420" w:firstLineChars="200"/>
        <w:rPr>
          <w:rFonts w:hint="eastAsia" w:ascii="宋体" w:hAnsi="宋体" w:cs="宋体"/>
          <w:kern w:val="0"/>
          <w:szCs w:val="21"/>
        </w:rPr>
      </w:pPr>
      <w:r>
        <w:rPr>
          <w:rFonts w:hint="eastAsia" w:ascii="宋体" w:hAnsi="宋体" w:cs="宋体"/>
          <w:kern w:val="0"/>
          <w:szCs w:val="21"/>
        </w:rPr>
        <w:t>黄石城发工程咨询有限公司受黄石市城市建设投资开发有限责任公司的委托，拟就湖北工程职业学院新校区</w:t>
      </w:r>
      <w:r>
        <w:rPr>
          <w:rFonts w:hint="eastAsia" w:ascii="宋体" w:hAnsi="宋体" w:cs="宋体"/>
          <w:kern w:val="0"/>
          <w:szCs w:val="21"/>
          <w:lang w:eastAsia="zh-CN"/>
        </w:rPr>
        <w:t>新增七人间学生宿舍</w:t>
      </w:r>
      <w:r>
        <w:rPr>
          <w:rFonts w:hint="eastAsia" w:ascii="宋体" w:hAnsi="宋体" w:cs="宋体"/>
          <w:kern w:val="0"/>
          <w:szCs w:val="21"/>
        </w:rPr>
        <w:t>床采购</w:t>
      </w:r>
      <w:r>
        <w:rPr>
          <w:rFonts w:hint="eastAsia" w:ascii="宋体" w:hAnsi="宋体" w:cs="宋体"/>
          <w:kern w:val="0"/>
          <w:szCs w:val="21"/>
          <w:lang w:eastAsia="zh-CN"/>
        </w:rPr>
        <w:t>安装</w:t>
      </w:r>
      <w:r>
        <w:rPr>
          <w:rFonts w:hint="eastAsia" w:ascii="宋体" w:hAnsi="宋体" w:cs="宋体"/>
          <w:kern w:val="0"/>
          <w:szCs w:val="21"/>
        </w:rPr>
        <w:t xml:space="preserve">项目以集团平台公开遴选方式选取供应商。 </w:t>
      </w:r>
    </w:p>
    <w:p>
      <w:pPr>
        <w:widowControl/>
        <w:shd w:val="clear" w:color="auto" w:fill="FFFFFF"/>
        <w:spacing w:line="360" w:lineRule="auto"/>
        <w:ind w:firstLine="420" w:firstLineChars="200"/>
        <w:rPr>
          <w:rFonts w:hint="eastAsia" w:ascii="宋体" w:hAnsi="宋体" w:cs="宋体"/>
          <w:kern w:val="0"/>
          <w:szCs w:val="21"/>
        </w:rPr>
      </w:pPr>
      <w:r>
        <w:rPr>
          <w:rFonts w:hint="eastAsia" w:ascii="宋体" w:hAnsi="宋体" w:cs="宋体"/>
          <w:kern w:val="0"/>
          <w:szCs w:val="21"/>
        </w:rPr>
        <w:t>一、项目名称：湖北工程职业学院新校区</w:t>
      </w:r>
      <w:r>
        <w:rPr>
          <w:rFonts w:hint="eastAsia" w:ascii="宋体" w:hAnsi="宋体" w:cs="宋体"/>
          <w:kern w:val="0"/>
          <w:szCs w:val="21"/>
          <w:lang w:eastAsia="zh-CN"/>
        </w:rPr>
        <w:t>新增七人间学生宿舍</w:t>
      </w:r>
      <w:r>
        <w:rPr>
          <w:rFonts w:hint="eastAsia" w:ascii="宋体" w:hAnsi="宋体" w:cs="宋体"/>
          <w:kern w:val="0"/>
          <w:szCs w:val="21"/>
        </w:rPr>
        <w:t>床采购</w:t>
      </w:r>
      <w:r>
        <w:rPr>
          <w:rFonts w:hint="eastAsia" w:ascii="宋体" w:hAnsi="宋体" w:cs="宋体"/>
          <w:kern w:val="0"/>
          <w:szCs w:val="21"/>
          <w:lang w:eastAsia="zh-CN"/>
        </w:rPr>
        <w:t>安装</w:t>
      </w:r>
      <w:r>
        <w:rPr>
          <w:rFonts w:hint="eastAsia" w:ascii="宋体" w:hAnsi="宋体" w:cs="宋体"/>
          <w:kern w:val="0"/>
          <w:szCs w:val="21"/>
        </w:rPr>
        <w:t>项目</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二、项目概况：</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1、控制价金额为</w:t>
      </w:r>
      <w:r>
        <w:rPr>
          <w:rFonts w:hint="eastAsia" w:ascii="宋体" w:hAnsi="宋体" w:cs="宋体"/>
          <w:kern w:val="0"/>
          <w:szCs w:val="21"/>
          <w:highlight w:val="yellow"/>
        </w:rPr>
        <w:t>160万元</w:t>
      </w:r>
      <w:r>
        <w:rPr>
          <w:rFonts w:hint="eastAsia" w:ascii="宋体" w:hAnsi="宋体" w:cs="宋体"/>
          <w:kern w:val="0"/>
          <w:szCs w:val="21"/>
        </w:rPr>
        <w:t>。</w:t>
      </w:r>
    </w:p>
    <w:p>
      <w:pPr>
        <w:widowControl/>
        <w:shd w:val="clear" w:color="auto" w:fill="FFFFFF"/>
        <w:spacing w:line="360" w:lineRule="auto"/>
        <w:ind w:firstLine="420" w:firstLineChars="200"/>
        <w:rPr>
          <w:rFonts w:hint="eastAsia" w:ascii="宋体" w:hAnsi="宋体" w:cs="宋体"/>
          <w:kern w:val="0"/>
          <w:szCs w:val="21"/>
          <w:lang w:eastAsia="zh-CN"/>
        </w:rPr>
      </w:pPr>
      <w:r>
        <w:rPr>
          <w:rFonts w:hint="eastAsia" w:ascii="宋体" w:hAnsi="宋体" w:cs="宋体"/>
          <w:kern w:val="0"/>
          <w:szCs w:val="21"/>
        </w:rPr>
        <w:t>2、</w:t>
      </w:r>
      <w:r>
        <w:rPr>
          <w:rFonts w:hint="eastAsia" w:ascii="宋体" w:hAnsi="宋体" w:cs="宋体"/>
          <w:kern w:val="0"/>
          <w:szCs w:val="21"/>
          <w:lang w:eastAsia="zh-CN"/>
        </w:rPr>
        <w:t>采购清单</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933"/>
        <w:gridCol w:w="5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3" w:type="dxa"/>
            <w:vAlign w:val="center"/>
          </w:tcPr>
          <w:p>
            <w:pPr>
              <w:pStyle w:val="13"/>
              <w:numPr>
                <w:ilvl w:val="0"/>
                <w:numId w:val="0"/>
              </w:numPr>
              <w:jc w:val="center"/>
              <w:rPr>
                <w:rFonts w:hint="eastAsia"/>
                <w:vertAlign w:val="baseline"/>
                <w:lang w:eastAsia="zh-CN"/>
              </w:rPr>
            </w:pPr>
            <w:r>
              <w:rPr>
                <w:rFonts w:hint="eastAsia"/>
                <w:vertAlign w:val="baseline"/>
                <w:lang w:eastAsia="zh-CN"/>
              </w:rPr>
              <w:t>序号</w:t>
            </w:r>
          </w:p>
        </w:tc>
        <w:tc>
          <w:tcPr>
            <w:tcW w:w="2933" w:type="dxa"/>
            <w:vAlign w:val="center"/>
          </w:tcPr>
          <w:p>
            <w:pPr>
              <w:pStyle w:val="13"/>
              <w:numPr>
                <w:ilvl w:val="0"/>
                <w:numId w:val="0"/>
              </w:numPr>
              <w:jc w:val="center"/>
              <w:rPr>
                <w:rFonts w:hint="eastAsia"/>
                <w:vertAlign w:val="baseline"/>
                <w:lang w:eastAsia="zh-CN"/>
              </w:rPr>
            </w:pPr>
            <w:r>
              <w:rPr>
                <w:rFonts w:hint="eastAsia"/>
                <w:vertAlign w:val="baseline"/>
                <w:lang w:eastAsia="zh-CN"/>
              </w:rPr>
              <w:t>名称</w:t>
            </w:r>
          </w:p>
        </w:tc>
        <w:tc>
          <w:tcPr>
            <w:tcW w:w="5379" w:type="dxa"/>
            <w:vAlign w:val="center"/>
          </w:tcPr>
          <w:p>
            <w:pPr>
              <w:pStyle w:val="13"/>
              <w:numPr>
                <w:ilvl w:val="0"/>
                <w:numId w:val="0"/>
              </w:numPr>
              <w:jc w:val="center"/>
              <w:rPr>
                <w:rFonts w:hint="eastAsia"/>
                <w:vertAlign w:val="baseline"/>
                <w:lang w:eastAsia="zh-CN"/>
              </w:rPr>
            </w:pPr>
            <w:r>
              <w:rPr>
                <w:rFonts w:hint="eastAsia"/>
                <w:vertAlign w:val="baseli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1</w:t>
            </w:r>
          </w:p>
        </w:tc>
        <w:tc>
          <w:tcPr>
            <w:tcW w:w="2933" w:type="dxa"/>
            <w:vAlign w:val="center"/>
          </w:tcPr>
          <w:p>
            <w:pPr>
              <w:pStyle w:val="13"/>
              <w:numPr>
                <w:ilvl w:val="0"/>
                <w:numId w:val="0"/>
              </w:numPr>
              <w:jc w:val="center"/>
              <w:rPr>
                <w:rFonts w:hint="eastAsia"/>
                <w:vertAlign w:val="baseline"/>
                <w:lang w:eastAsia="zh-CN"/>
              </w:rPr>
            </w:pPr>
            <w:r>
              <w:rPr>
                <w:rFonts w:hint="eastAsia"/>
                <w:vertAlign w:val="baseline"/>
                <w:lang w:eastAsia="zh-CN"/>
              </w:rPr>
              <w:t>高低床</w:t>
            </w:r>
          </w:p>
        </w:tc>
        <w:tc>
          <w:tcPr>
            <w:tcW w:w="5379"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1086张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2</w:t>
            </w:r>
          </w:p>
        </w:tc>
        <w:tc>
          <w:tcPr>
            <w:tcW w:w="2933" w:type="dxa"/>
            <w:vAlign w:val="center"/>
          </w:tcPr>
          <w:p>
            <w:pPr>
              <w:pStyle w:val="13"/>
              <w:numPr>
                <w:ilvl w:val="0"/>
                <w:numId w:val="0"/>
              </w:numPr>
              <w:jc w:val="center"/>
              <w:rPr>
                <w:rFonts w:hint="eastAsia"/>
                <w:vertAlign w:val="baseline"/>
                <w:lang w:eastAsia="zh-CN"/>
              </w:rPr>
            </w:pPr>
            <w:r>
              <w:rPr>
                <w:rFonts w:hint="eastAsia"/>
                <w:vertAlign w:val="baseline"/>
                <w:lang w:eastAsia="zh-CN"/>
              </w:rPr>
              <w:t>高低床（不含下床）</w:t>
            </w:r>
          </w:p>
        </w:tc>
        <w:tc>
          <w:tcPr>
            <w:tcW w:w="5379"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362张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3</w:t>
            </w:r>
          </w:p>
        </w:tc>
        <w:tc>
          <w:tcPr>
            <w:tcW w:w="2933" w:type="dxa"/>
            <w:vAlign w:val="center"/>
          </w:tcPr>
          <w:p>
            <w:pPr>
              <w:pStyle w:val="13"/>
              <w:numPr>
                <w:ilvl w:val="0"/>
                <w:numId w:val="0"/>
              </w:numPr>
              <w:jc w:val="center"/>
              <w:rPr>
                <w:rFonts w:hint="eastAsia"/>
                <w:vertAlign w:val="baseline"/>
                <w:lang w:eastAsia="zh-CN"/>
              </w:rPr>
            </w:pPr>
            <w:r>
              <w:rPr>
                <w:rFonts w:hint="eastAsia"/>
                <w:vertAlign w:val="baseline"/>
                <w:lang w:eastAsia="zh-CN"/>
              </w:rPr>
              <w:t>中梯</w:t>
            </w:r>
          </w:p>
        </w:tc>
        <w:tc>
          <w:tcPr>
            <w:tcW w:w="5379"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724架</w:t>
            </w:r>
          </w:p>
        </w:tc>
      </w:tr>
    </w:tbl>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3、工期：</w:t>
      </w:r>
      <w:r>
        <w:rPr>
          <w:rFonts w:hint="eastAsia" w:ascii="宋体" w:hAnsi="宋体" w:cs="宋体"/>
          <w:kern w:val="0"/>
          <w:szCs w:val="21"/>
          <w:lang w:val="en-US" w:eastAsia="zh-CN"/>
        </w:rPr>
        <w:t>20</w:t>
      </w:r>
      <w:r>
        <w:rPr>
          <w:rFonts w:hint="eastAsia" w:ascii="宋体" w:hAnsi="宋体" w:cs="宋体"/>
          <w:kern w:val="0"/>
          <w:szCs w:val="21"/>
        </w:rPr>
        <w:t>天</w:t>
      </w:r>
      <w:r>
        <w:rPr>
          <w:rFonts w:ascii="宋体" w:hAnsi="宋体" w:cs="宋体"/>
          <w:kern w:val="0"/>
          <w:szCs w:val="21"/>
        </w:rPr>
        <w:t>。</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4、质量目标：合格，所供产品的维护、质保</w:t>
      </w:r>
      <w:r>
        <w:rPr>
          <w:rFonts w:ascii="宋体" w:hAnsi="宋体" w:cs="宋体"/>
          <w:kern w:val="0"/>
          <w:szCs w:val="21"/>
        </w:rPr>
        <w:t>期</w:t>
      </w:r>
      <w:r>
        <w:rPr>
          <w:rFonts w:hint="eastAsia" w:ascii="宋体" w:hAnsi="宋体" w:cs="宋体"/>
          <w:kern w:val="0"/>
          <w:szCs w:val="21"/>
        </w:rPr>
        <w:t>不低于3年</w:t>
      </w:r>
    </w:p>
    <w:p>
      <w:pPr>
        <w:widowControl/>
        <w:shd w:val="clear" w:color="auto" w:fill="FFFFFF"/>
        <w:spacing w:line="360" w:lineRule="auto"/>
        <w:ind w:firstLine="420" w:firstLineChars="200"/>
        <w:rPr>
          <w:rFonts w:hint="eastAsia" w:ascii="宋体" w:hAnsi="宋体" w:cs="宋体"/>
          <w:kern w:val="0"/>
          <w:szCs w:val="21"/>
        </w:rPr>
      </w:pPr>
      <w:r>
        <w:rPr>
          <w:rFonts w:hint="eastAsia" w:ascii="宋体" w:hAnsi="宋体" w:cs="宋体"/>
          <w:kern w:val="0"/>
          <w:szCs w:val="21"/>
        </w:rPr>
        <w:t>5、付款方式：签订合同后七个工作日内支付同金额的30%</w:t>
      </w:r>
      <w:r>
        <w:rPr>
          <w:rFonts w:hint="eastAsia" w:ascii="宋体" w:hAnsi="宋体" w:cs="宋体"/>
          <w:kern w:val="0"/>
          <w:szCs w:val="21"/>
          <w:lang w:eastAsia="zh-CN"/>
        </w:rPr>
        <w:t>定金</w:t>
      </w:r>
      <w:r>
        <w:rPr>
          <w:rFonts w:hint="eastAsia" w:ascii="宋体" w:hAnsi="宋体" w:cs="宋体"/>
          <w:kern w:val="0"/>
          <w:szCs w:val="21"/>
        </w:rPr>
        <w:t>；安装完毕验收合格后支付至总价的97%；剩余3%待质保期满3年经甲方确认无质量问题后一次性付清,同时投标人须向招标人提供合同金额3%的银行保函，招标人待投标人承诺的质保期满后将银行保函退还投标人。</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三、投标人资格要求：</w:t>
      </w:r>
    </w:p>
    <w:p>
      <w:pPr>
        <w:autoSpaceDE w:val="0"/>
        <w:autoSpaceDN w:val="0"/>
        <w:adjustRightInd w:val="0"/>
        <w:spacing w:line="360" w:lineRule="auto"/>
        <w:ind w:firstLine="420" w:firstLineChars="200"/>
        <w:rPr>
          <w:rFonts w:hint="eastAsia" w:ascii="宋体" w:hAnsi="宋体"/>
          <w:szCs w:val="21"/>
          <w:lang w:val="zh-CN"/>
        </w:rPr>
      </w:pPr>
      <w:r>
        <w:rPr>
          <w:rFonts w:hint="eastAsia" w:ascii="宋体" w:hAnsi="宋体"/>
          <w:szCs w:val="21"/>
          <w:lang w:val="zh-CN"/>
        </w:rPr>
        <w:t>1、投标人应当具有独立法人资格，且经营范围满足本项目需求，有能力提供本所需货物及服务的生产制造商或代理商，投标人为代理商的须提供制造商授权书，投标人为制造商的需提供制造商承诺；提供有效期内的营业执照。</w:t>
      </w:r>
    </w:p>
    <w:p>
      <w:pPr>
        <w:autoSpaceDE w:val="0"/>
        <w:autoSpaceDN w:val="0"/>
        <w:adjustRightInd w:val="0"/>
        <w:spacing w:line="360" w:lineRule="auto"/>
        <w:ind w:firstLine="420" w:firstLineChars="200"/>
        <w:rPr>
          <w:rFonts w:hint="eastAsia" w:ascii="宋体" w:hAnsi="宋体"/>
          <w:szCs w:val="21"/>
          <w:lang w:val="zh-CN"/>
        </w:rPr>
      </w:pPr>
      <w:r>
        <w:rPr>
          <w:rFonts w:hint="eastAsia" w:ascii="宋体" w:hAnsi="宋体"/>
          <w:szCs w:val="21"/>
          <w:lang w:val="zh-CN"/>
        </w:rPr>
        <w:t>2、投标人在近三年内(2019年5月1日至投标截止日止)，至少承担过一项合同价格在</w:t>
      </w:r>
      <w:r>
        <w:rPr>
          <w:rFonts w:hint="eastAsia" w:ascii="宋体" w:hAnsi="宋体"/>
          <w:szCs w:val="21"/>
          <w:highlight w:val="yellow"/>
          <w:lang w:val="en-US" w:eastAsia="zh-CN"/>
        </w:rPr>
        <w:t>100</w:t>
      </w:r>
      <w:r>
        <w:rPr>
          <w:rFonts w:hint="eastAsia" w:ascii="宋体" w:hAnsi="宋体"/>
          <w:szCs w:val="21"/>
          <w:highlight w:val="yellow"/>
          <w:lang w:val="zh-CN"/>
        </w:rPr>
        <w:t>万</w:t>
      </w:r>
      <w:r>
        <w:rPr>
          <w:rFonts w:hint="eastAsia" w:ascii="宋体" w:hAnsi="宋体"/>
          <w:szCs w:val="21"/>
          <w:lang w:val="zh-CN"/>
        </w:rPr>
        <w:t>元及以上家具销售及安装项目业绩。（提供中标通知书或销售合同扫描件加盖公章）</w:t>
      </w:r>
    </w:p>
    <w:p>
      <w:pPr>
        <w:autoSpaceDE w:val="0"/>
        <w:autoSpaceDN w:val="0"/>
        <w:adjustRightInd w:val="0"/>
        <w:spacing w:line="360" w:lineRule="auto"/>
        <w:ind w:firstLine="420" w:firstLineChars="200"/>
        <w:rPr>
          <w:rFonts w:hint="eastAsia" w:ascii="宋体" w:hAnsi="宋体"/>
          <w:szCs w:val="21"/>
          <w:lang w:val="zh-CN"/>
        </w:rPr>
      </w:pPr>
      <w:r>
        <w:rPr>
          <w:rFonts w:hint="eastAsia" w:ascii="宋体" w:hAnsi="宋体"/>
          <w:szCs w:val="21"/>
          <w:lang w:val="zh-CN"/>
        </w:rPr>
        <w:t>3、投标人须提供参加采购活动近三年内，在经营活动中没有重大违法记录声明；以及“信用中国”网站（www.creditchina.gov.cn）上未被列入失信被执行人、重大税收违法案件当事人名单网页查询截图。</w:t>
      </w:r>
    </w:p>
    <w:p>
      <w:pPr>
        <w:autoSpaceDE w:val="0"/>
        <w:autoSpaceDN w:val="0"/>
        <w:adjustRightInd w:val="0"/>
        <w:spacing w:line="360" w:lineRule="auto"/>
        <w:ind w:firstLine="420" w:firstLineChars="200"/>
        <w:rPr>
          <w:rFonts w:hint="eastAsia" w:ascii="宋体" w:hAnsi="宋体"/>
          <w:szCs w:val="21"/>
          <w:lang w:val="zh-CN"/>
        </w:rPr>
      </w:pPr>
      <w:r>
        <w:rPr>
          <w:rFonts w:hint="eastAsia" w:ascii="宋体" w:hAnsi="宋体"/>
          <w:szCs w:val="21"/>
          <w:lang w:val="zh-CN"/>
        </w:rPr>
        <w:t>4、</w:t>
      </w:r>
      <w:r>
        <w:rPr>
          <w:rFonts w:ascii="宋体" w:hAnsi="宋体"/>
          <w:szCs w:val="21"/>
          <w:lang w:val="zh-CN"/>
        </w:rPr>
        <w:t>投标人必须在“中国裁判文书网”（https://wenshu.court.gov.cn/）查询本单位及法定代表人近三年(查询时间段201</w:t>
      </w:r>
      <w:r>
        <w:rPr>
          <w:rFonts w:hint="eastAsia" w:ascii="宋体" w:hAnsi="宋体"/>
          <w:szCs w:val="21"/>
          <w:lang w:val="zh-CN"/>
        </w:rPr>
        <w:t>9</w:t>
      </w:r>
      <w:r>
        <w:rPr>
          <w:rFonts w:ascii="宋体" w:hAnsi="宋体"/>
          <w:szCs w:val="21"/>
          <w:lang w:val="zh-CN"/>
        </w:rPr>
        <w:t>年</w:t>
      </w:r>
      <w:r>
        <w:rPr>
          <w:rFonts w:hint="eastAsia" w:ascii="宋体" w:hAnsi="宋体"/>
          <w:szCs w:val="21"/>
          <w:lang w:val="zh-CN"/>
        </w:rPr>
        <w:t>5</w:t>
      </w:r>
      <w:r>
        <w:rPr>
          <w:rFonts w:ascii="宋体" w:hAnsi="宋体"/>
          <w:szCs w:val="21"/>
          <w:lang w:val="zh-CN"/>
        </w:rPr>
        <w:t>月</w:t>
      </w:r>
      <w:r>
        <w:rPr>
          <w:rFonts w:hint="eastAsia" w:ascii="宋体" w:hAnsi="宋体"/>
          <w:szCs w:val="21"/>
          <w:lang w:val="zh-CN"/>
        </w:rPr>
        <w:t>1日起</w:t>
      </w:r>
      <w:r>
        <w:rPr>
          <w:rFonts w:ascii="宋体" w:hAnsi="宋体"/>
          <w:szCs w:val="21"/>
          <w:lang w:val="zh-CN"/>
        </w:rPr>
        <w:t>至</w:t>
      </w:r>
      <w:r>
        <w:rPr>
          <w:rFonts w:hint="eastAsia" w:ascii="宋体" w:hAnsi="宋体"/>
          <w:szCs w:val="21"/>
          <w:lang w:val="zh-CN"/>
        </w:rPr>
        <w:t>投标截止日止</w:t>
      </w:r>
      <w:r>
        <w:rPr>
          <w:rFonts w:ascii="宋体" w:hAnsi="宋体"/>
          <w:szCs w:val="21"/>
          <w:lang w:val="zh-CN"/>
        </w:rPr>
        <w:t>)是否有行贿犯罪记录并提供截图，未提供的或有行贿犯罪记录的投标无效，取消其投标资格。</w:t>
      </w:r>
    </w:p>
    <w:p>
      <w:pPr>
        <w:autoSpaceDE w:val="0"/>
        <w:autoSpaceDN w:val="0"/>
        <w:adjustRightInd w:val="0"/>
        <w:spacing w:line="360" w:lineRule="auto"/>
        <w:ind w:firstLine="420" w:firstLineChars="200"/>
        <w:rPr>
          <w:rFonts w:hint="eastAsia" w:ascii="宋体" w:hAnsi="宋体"/>
          <w:szCs w:val="21"/>
          <w:lang w:val="zh-CN"/>
        </w:rPr>
      </w:pPr>
      <w:r>
        <w:rPr>
          <w:rFonts w:hint="eastAsia" w:ascii="宋体" w:hAnsi="宋体"/>
          <w:szCs w:val="21"/>
          <w:lang w:val="zh-CN"/>
        </w:rPr>
        <w:t xml:space="preserve">5、本项目不接受联合体投标 。 </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四、报名方式</w:t>
      </w:r>
    </w:p>
    <w:p>
      <w:pPr>
        <w:widowControl/>
        <w:shd w:val="clear" w:color="auto" w:fill="FFFFFF"/>
        <w:spacing w:line="360" w:lineRule="auto"/>
        <w:ind w:firstLine="420" w:firstLineChars="200"/>
        <w:rPr>
          <w:rFonts w:ascii="宋体" w:hAnsi="宋体" w:cs="宋体"/>
          <w:kern w:val="0"/>
          <w:szCs w:val="21"/>
        </w:rPr>
      </w:pPr>
      <w:r>
        <w:rPr>
          <w:rFonts w:ascii="宋体" w:hAnsi="宋体" w:cs="宋体"/>
          <w:kern w:val="0"/>
          <w:szCs w:val="21"/>
        </w:rPr>
        <w:t>1、</w:t>
      </w:r>
      <w:r>
        <w:rPr>
          <w:rFonts w:hint="eastAsia" w:ascii="宋体" w:hAnsi="宋体" w:cs="宋体"/>
          <w:kern w:val="0"/>
          <w:szCs w:val="21"/>
        </w:rPr>
        <w:t>报名</w:t>
      </w:r>
      <w:r>
        <w:rPr>
          <w:rFonts w:ascii="宋体" w:hAnsi="宋体" w:cs="宋体"/>
          <w:kern w:val="0"/>
          <w:szCs w:val="21"/>
        </w:rPr>
        <w:t>方式：</w:t>
      </w:r>
      <w:r>
        <w:rPr>
          <w:rFonts w:hint="eastAsia" w:ascii="宋体" w:hAnsi="宋体" w:cs="宋体"/>
          <w:kern w:val="0"/>
          <w:szCs w:val="21"/>
        </w:rPr>
        <w:t>各遴选申请人于2022年7月</w:t>
      </w:r>
      <w:r>
        <w:rPr>
          <w:rFonts w:hint="eastAsia" w:ascii="宋体" w:hAnsi="宋体" w:cs="宋体"/>
          <w:kern w:val="0"/>
          <w:szCs w:val="21"/>
          <w:lang w:val="en-US" w:eastAsia="zh-CN"/>
        </w:rPr>
        <w:t>31</w:t>
      </w:r>
      <w:r>
        <w:rPr>
          <w:rFonts w:hint="eastAsia" w:ascii="宋体" w:hAnsi="宋体" w:cs="宋体"/>
          <w:kern w:val="0"/>
          <w:szCs w:val="21"/>
        </w:rPr>
        <w:t>日16点前</w:t>
      </w:r>
      <w:r>
        <w:rPr>
          <w:rFonts w:ascii="宋体" w:hAnsi="宋体" w:cs="宋体"/>
          <w:kern w:val="0"/>
          <w:szCs w:val="21"/>
        </w:rPr>
        <w:t>通过</w:t>
      </w:r>
      <w:r>
        <w:rPr>
          <w:rFonts w:hint="eastAsia" w:ascii="宋体" w:hAnsi="宋体" w:cs="宋体"/>
          <w:kern w:val="0"/>
          <w:szCs w:val="21"/>
        </w:rPr>
        <w:t>城发集团官网</w:t>
      </w:r>
      <w:r>
        <w:rPr>
          <w:rFonts w:ascii="宋体" w:hAnsi="宋体" w:cs="宋体"/>
          <w:kern w:val="0"/>
          <w:szCs w:val="21"/>
        </w:rPr>
        <w:t>公告附件下载</w:t>
      </w:r>
      <w:r>
        <w:rPr>
          <w:rFonts w:hint="eastAsia" w:ascii="宋体" w:hAnsi="宋体" w:cs="宋体"/>
          <w:kern w:val="0"/>
          <w:szCs w:val="21"/>
        </w:rPr>
        <w:t>报名表并递交300元投标报名费，</w:t>
      </w:r>
      <w:r>
        <w:fldChar w:fldCharType="begin"/>
      </w:r>
      <w:r>
        <w:instrText xml:space="preserve"> HYPERLINK "mailto:填写报名表连同报名费交纳凭证发送至13700253@qq.com" </w:instrText>
      </w:r>
      <w:r>
        <w:fldChar w:fldCharType="separate"/>
      </w:r>
      <w:r>
        <w:rPr>
          <w:rStyle w:val="20"/>
          <w:rFonts w:hint="eastAsia" w:ascii="宋体" w:hAnsi="宋体" w:cs="宋体"/>
          <w:kern w:val="0"/>
          <w:szCs w:val="21"/>
        </w:rPr>
        <w:t>填写报名表连同报名费交纳凭证发送至13700253@qq.com</w:t>
      </w:r>
      <w:r>
        <w:rPr>
          <w:rStyle w:val="20"/>
          <w:rFonts w:hint="eastAsia" w:ascii="宋体" w:hAnsi="宋体" w:cs="宋体"/>
          <w:kern w:val="0"/>
          <w:szCs w:val="21"/>
        </w:rPr>
        <w:fldChar w:fldCharType="end"/>
      </w:r>
      <w:r>
        <w:rPr>
          <w:rFonts w:ascii="宋体" w:hAnsi="宋体" w:cs="宋体"/>
          <w:kern w:val="0"/>
          <w:szCs w:val="21"/>
        </w:rPr>
        <w:t>。</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户名：黄石城发工程咨询有限公司</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帐号：714903123910101</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kern w:val="0"/>
          <w:szCs w:val="21"/>
        </w:rPr>
        <w:t>开户行：招商银行股份有限公司黄石分行营业部</w:t>
      </w:r>
    </w:p>
    <w:p>
      <w:pPr>
        <w:widowControl/>
        <w:shd w:val="clear" w:color="auto" w:fill="FFFFFF"/>
        <w:spacing w:line="360" w:lineRule="auto"/>
        <w:ind w:firstLine="420" w:firstLineChars="200"/>
        <w:rPr>
          <w:rFonts w:ascii="宋体" w:hAnsi="宋体" w:cs="宋体"/>
          <w:kern w:val="0"/>
          <w:szCs w:val="21"/>
        </w:rPr>
      </w:pPr>
      <w:r>
        <w:rPr>
          <w:rFonts w:hint="eastAsia" w:ascii="宋体" w:hAnsi="宋体" w:cs="宋体"/>
          <w:szCs w:val="21"/>
        </w:rPr>
        <w:t>本项目招标代理费参照（计价格【2002】1980号）文标准的50%计取，由中标人领取中标通知书时一次性向代理机构交纳。</w:t>
      </w:r>
    </w:p>
    <w:p>
      <w:pPr>
        <w:widowControl/>
        <w:shd w:val="clear" w:color="auto" w:fill="FFFFFF"/>
        <w:spacing w:line="360" w:lineRule="auto"/>
        <w:ind w:firstLine="420" w:firstLineChars="200"/>
        <w:rPr>
          <w:rFonts w:ascii="宋体" w:hAnsi="宋体" w:cs="宋体"/>
          <w:kern w:val="0"/>
          <w:szCs w:val="21"/>
        </w:rPr>
      </w:pPr>
      <w:r>
        <w:rPr>
          <w:rFonts w:ascii="宋体" w:hAnsi="宋体" w:cs="宋体"/>
          <w:kern w:val="0"/>
          <w:szCs w:val="21"/>
        </w:rPr>
        <w:t>2、若招标时间、地点以及招标项目其它相关内容发生变更，将在</w:t>
      </w:r>
      <w:r>
        <w:rPr>
          <w:rFonts w:hint="eastAsia" w:ascii="宋体" w:hAnsi="宋体" w:cs="宋体"/>
          <w:kern w:val="0"/>
          <w:szCs w:val="21"/>
        </w:rPr>
        <w:t>城发集团官网</w:t>
      </w:r>
      <w:r>
        <w:rPr>
          <w:rFonts w:ascii="宋体" w:hAnsi="宋体" w:cs="宋体"/>
          <w:kern w:val="0"/>
          <w:szCs w:val="21"/>
        </w:rPr>
        <w:t xml:space="preserve">发布变更公告，请各投标人随时关注相关信息。 </w:t>
      </w:r>
    </w:p>
    <w:p>
      <w:pPr>
        <w:spacing w:line="360" w:lineRule="auto"/>
        <w:ind w:firstLine="422" w:firstLineChars="200"/>
        <w:rPr>
          <w:rFonts w:ascii="宋体" w:hAnsi="宋体" w:cs="宋体"/>
          <w:szCs w:val="21"/>
        </w:rPr>
      </w:pPr>
      <w:r>
        <w:rPr>
          <w:rFonts w:hint="eastAsia" w:ascii="宋体" w:cs="宋体"/>
          <w:b/>
          <w:bCs/>
          <w:kern w:val="0"/>
          <w:szCs w:val="21"/>
        </w:rPr>
        <w:t>五</w:t>
      </w:r>
      <w:r>
        <w:rPr>
          <w:rFonts w:ascii="宋体" w:cs="宋体"/>
          <w:b/>
          <w:bCs/>
          <w:kern w:val="0"/>
          <w:szCs w:val="21"/>
        </w:rPr>
        <w:t>、</w:t>
      </w:r>
      <w:r>
        <w:rPr>
          <w:rFonts w:hint="eastAsia" w:ascii="宋体" w:cs="宋体"/>
          <w:b/>
          <w:bCs/>
          <w:kern w:val="0"/>
          <w:szCs w:val="21"/>
        </w:rPr>
        <w:t>遴选响应文件</w:t>
      </w:r>
      <w:r>
        <w:rPr>
          <w:rFonts w:ascii="宋体" w:cs="宋体"/>
          <w:b/>
          <w:bCs/>
          <w:kern w:val="0"/>
          <w:szCs w:val="21"/>
        </w:rPr>
        <w:t xml:space="preserve">递交截止时间、地点： </w:t>
      </w:r>
    </w:p>
    <w:p>
      <w:pPr>
        <w:widowControl/>
        <w:shd w:val="clear" w:color="auto" w:fill="FFFFFF"/>
        <w:spacing w:line="360" w:lineRule="auto"/>
        <w:ind w:firstLine="420" w:firstLineChars="200"/>
        <w:rPr>
          <w:rFonts w:ascii="宋体" w:hAnsi="宋体" w:cs="宋体"/>
          <w:kern w:val="0"/>
          <w:szCs w:val="21"/>
        </w:rPr>
      </w:pPr>
      <w:r>
        <w:rPr>
          <w:rFonts w:ascii="宋体" w:hAnsi="宋体" w:cs="宋体"/>
          <w:kern w:val="0"/>
          <w:szCs w:val="21"/>
        </w:rPr>
        <w:t>1、投标文件递交截止时间（开标时间）：202</w:t>
      </w:r>
      <w:r>
        <w:rPr>
          <w:rFonts w:hint="eastAsia" w:ascii="宋体" w:hAnsi="宋体" w:cs="宋体"/>
          <w:kern w:val="0"/>
          <w:szCs w:val="21"/>
        </w:rPr>
        <w:t>2</w:t>
      </w:r>
      <w:r>
        <w:rPr>
          <w:rFonts w:ascii="宋体" w:hAnsi="宋体" w:cs="宋体"/>
          <w:kern w:val="0"/>
          <w:szCs w:val="21"/>
        </w:rPr>
        <w:t>年</w:t>
      </w:r>
      <w:r>
        <w:rPr>
          <w:rFonts w:hint="eastAsia" w:ascii="宋体" w:hAnsi="宋体" w:cs="宋体"/>
          <w:kern w:val="0"/>
          <w:szCs w:val="21"/>
          <w:lang w:val="en-US" w:eastAsia="zh-CN"/>
        </w:rPr>
        <w:t>8</w:t>
      </w:r>
      <w:r>
        <w:rPr>
          <w:rFonts w:ascii="宋体" w:hAnsi="宋体" w:cs="宋体"/>
          <w:kern w:val="0"/>
          <w:szCs w:val="21"/>
        </w:rPr>
        <w:t>月</w:t>
      </w:r>
      <w:r>
        <w:rPr>
          <w:rFonts w:hint="eastAsia" w:ascii="宋体" w:hAnsi="宋体" w:cs="宋体"/>
          <w:kern w:val="0"/>
          <w:szCs w:val="21"/>
          <w:lang w:val="en-US" w:eastAsia="zh-CN"/>
        </w:rPr>
        <w:t>1</w:t>
      </w:r>
      <w:r>
        <w:rPr>
          <w:rFonts w:ascii="宋体" w:hAnsi="宋体" w:cs="宋体"/>
          <w:kern w:val="0"/>
          <w:szCs w:val="21"/>
        </w:rPr>
        <w:t>日</w:t>
      </w:r>
      <w:r>
        <w:rPr>
          <w:rFonts w:hint="eastAsia" w:ascii="宋体" w:hAnsi="宋体" w:cs="宋体"/>
          <w:kern w:val="0"/>
          <w:szCs w:val="21"/>
        </w:rPr>
        <w:t>1</w:t>
      </w:r>
      <w:r>
        <w:rPr>
          <w:rFonts w:hint="eastAsia" w:ascii="宋体" w:hAnsi="宋体" w:cs="宋体"/>
          <w:kern w:val="0"/>
          <w:szCs w:val="21"/>
          <w:lang w:val="en-US" w:eastAsia="zh-CN"/>
        </w:rPr>
        <w:t>5</w:t>
      </w:r>
      <w:r>
        <w:rPr>
          <w:rFonts w:ascii="宋体" w:hAnsi="宋体" w:cs="宋体"/>
          <w:kern w:val="0"/>
          <w:szCs w:val="21"/>
        </w:rPr>
        <w:t>时</w:t>
      </w:r>
      <w:r>
        <w:rPr>
          <w:rFonts w:hint="eastAsia" w:ascii="宋体" w:hAnsi="宋体" w:cs="宋体"/>
          <w:kern w:val="0"/>
          <w:szCs w:val="21"/>
          <w:lang w:val="en-US" w:eastAsia="zh-CN"/>
        </w:rPr>
        <w:t>00</w:t>
      </w:r>
      <w:r>
        <w:rPr>
          <w:rFonts w:ascii="宋体" w:hAnsi="宋体" w:cs="宋体"/>
          <w:kern w:val="0"/>
          <w:szCs w:val="21"/>
        </w:rPr>
        <w:t>分。</w:t>
      </w:r>
    </w:p>
    <w:p>
      <w:pPr>
        <w:widowControl/>
        <w:shd w:val="clear" w:color="auto" w:fill="FFFFFF"/>
        <w:spacing w:line="360" w:lineRule="auto"/>
        <w:ind w:firstLine="420" w:firstLineChars="200"/>
        <w:rPr>
          <w:rFonts w:ascii="宋体" w:hAnsi="宋体" w:cs="宋体"/>
          <w:kern w:val="0"/>
          <w:szCs w:val="21"/>
        </w:rPr>
      </w:pPr>
      <w:r>
        <w:fldChar w:fldCharType="begin"/>
      </w:r>
      <w:r>
        <w:instrText xml:space="preserve"> HYPERLINK "https://www.baidu.com/link?url=uL3RrtTBbv5YS27LDfW7zFtaCwgC40oB2h08ZBgDe-i&amp;amp;wd&amp;amp;eqid=f29a7d930012f6ac000000065d517826" \h </w:instrText>
      </w:r>
      <w:r>
        <w:fldChar w:fldCharType="separate"/>
      </w:r>
      <w:r>
        <w:rPr>
          <w:rFonts w:ascii="宋体" w:hAnsi="宋体" w:cs="宋体"/>
          <w:kern w:val="0"/>
          <w:szCs w:val="21"/>
        </w:rPr>
        <w:t>2、开标地点：黄石市城市发展投资集团有限公司</w:t>
      </w:r>
      <w:r>
        <w:rPr>
          <w:rFonts w:ascii="宋体" w:hAnsi="宋体" w:cs="宋体"/>
          <w:kern w:val="0"/>
          <w:szCs w:val="21"/>
        </w:rPr>
        <w:fldChar w:fldCharType="end"/>
      </w:r>
      <w:r>
        <w:rPr>
          <w:rFonts w:ascii="宋体" w:hAnsi="宋体" w:cs="宋体"/>
          <w:kern w:val="0"/>
          <w:szCs w:val="21"/>
        </w:rPr>
        <w:t>3号楼3楼开标室</w:t>
      </w:r>
    </w:p>
    <w:p>
      <w:pPr>
        <w:widowControl/>
        <w:shd w:val="clear" w:color="auto" w:fill="FFFFFF"/>
        <w:spacing w:line="360" w:lineRule="auto"/>
        <w:ind w:firstLine="420" w:firstLineChars="200"/>
        <w:rPr>
          <w:rFonts w:ascii="宋体" w:hAnsi="宋体" w:cs="宋体"/>
          <w:kern w:val="0"/>
          <w:szCs w:val="21"/>
        </w:rPr>
      </w:pPr>
      <w:r>
        <w:rPr>
          <w:rFonts w:ascii="宋体" w:hAnsi="宋体" w:cs="宋体"/>
          <w:kern w:val="0"/>
          <w:szCs w:val="21"/>
        </w:rPr>
        <w:t>3、本次项目采取网上递交及网络开标的方式进行，截止时间后递交的投标文件不予接收。即</w:t>
      </w:r>
      <w:r>
        <w:rPr>
          <w:rFonts w:hint="eastAsia" w:ascii="宋体" w:hAnsi="宋体" w:cs="宋体"/>
          <w:kern w:val="0"/>
          <w:szCs w:val="21"/>
        </w:rPr>
        <w:t>申请人</w:t>
      </w:r>
      <w:r>
        <w:rPr>
          <w:rFonts w:ascii="宋体" w:hAnsi="宋体" w:cs="宋体"/>
          <w:kern w:val="0"/>
          <w:szCs w:val="21"/>
        </w:rPr>
        <w:t>在</w:t>
      </w:r>
      <w:r>
        <w:rPr>
          <w:rFonts w:hint="eastAsia" w:ascii="宋体" w:hAnsi="宋体" w:cs="宋体"/>
          <w:kern w:val="0"/>
          <w:szCs w:val="21"/>
        </w:rPr>
        <w:t>遴选响应</w:t>
      </w:r>
      <w:r>
        <w:rPr>
          <w:rFonts w:ascii="宋体" w:hAnsi="宋体" w:cs="宋体"/>
          <w:kern w:val="0"/>
          <w:szCs w:val="21"/>
        </w:rPr>
        <w:t>文件上规定的</w:t>
      </w:r>
      <w:r>
        <w:rPr>
          <w:rFonts w:hint="eastAsia" w:ascii="宋体" w:hAnsi="宋体" w:cs="宋体"/>
          <w:kern w:val="0"/>
          <w:szCs w:val="21"/>
        </w:rPr>
        <w:t>递交</w:t>
      </w:r>
      <w:r>
        <w:rPr>
          <w:rFonts w:ascii="宋体" w:hAnsi="宋体" w:cs="宋体"/>
          <w:kern w:val="0"/>
          <w:szCs w:val="21"/>
        </w:rPr>
        <w:t>截止时间前，将投标文件转换成PDF格式并加密上传到（</w:t>
      </w:r>
      <w:r>
        <w:rPr>
          <w:rFonts w:hint="eastAsia" w:ascii="宋体" w:hAnsi="宋体" w:cs="宋体"/>
          <w:kern w:val="0"/>
          <w:szCs w:val="21"/>
        </w:rPr>
        <w:t>13700253@qq.com）</w:t>
      </w:r>
      <w:r>
        <w:rPr>
          <w:rFonts w:ascii="宋体" w:hAnsi="宋体" w:cs="宋体"/>
          <w:kern w:val="0"/>
          <w:szCs w:val="21"/>
        </w:rPr>
        <w:t>）邮箱。其中投标人递交投标文件时一定要在“邮件主题”上标注参与项目的名称+投标人名称。</w:t>
      </w:r>
    </w:p>
    <w:p>
      <w:pPr>
        <w:widowControl/>
        <w:shd w:val="clear" w:color="auto" w:fill="FFFFFF"/>
        <w:spacing w:line="360" w:lineRule="auto"/>
        <w:ind w:firstLine="420" w:firstLineChars="200"/>
        <w:rPr>
          <w:rFonts w:ascii="宋体" w:hAnsi="宋体" w:cs="宋体"/>
          <w:kern w:val="0"/>
          <w:szCs w:val="21"/>
        </w:rPr>
      </w:pPr>
      <w:r>
        <w:rPr>
          <w:rFonts w:ascii="宋体" w:hAnsi="宋体" w:cs="宋体"/>
          <w:kern w:val="0"/>
          <w:szCs w:val="21"/>
        </w:rPr>
        <w:t>本次开标采用网络开标，采用的会议软件为“腾讯会议”，请各投标人授权代表（即参会人员）提前用带视频功能的手机或电脑下载“腾讯会议”，并提前自行测试，防止意外出现。湖北城发设计咨询集团有限公司在投标文件递交截止时间后，将本次开标会的会议时间、会议ID及密码以邮件回传给在规定时间内递交了投标文件的投标人的投标邮箱。投标人不要使用163、1</w:t>
      </w:r>
      <w:r>
        <w:rPr>
          <w:rFonts w:hint="eastAsia" w:ascii="宋体" w:hAnsi="宋体" w:cs="宋体"/>
          <w:kern w:val="0"/>
          <w:szCs w:val="21"/>
        </w:rPr>
        <w:t>26</w:t>
      </w:r>
      <w:r>
        <w:rPr>
          <w:rFonts w:ascii="宋体" w:hAnsi="宋体" w:cs="宋体"/>
          <w:kern w:val="0"/>
          <w:szCs w:val="21"/>
        </w:rPr>
        <w:t>邮箱（该类型邮箱下载限速，影响开标进程），也不要将文件压缩。</w:t>
      </w:r>
    </w:p>
    <w:p>
      <w:pPr>
        <w:pStyle w:val="8"/>
        <w:spacing w:after="0" w:line="360" w:lineRule="auto"/>
        <w:ind w:firstLine="422" w:firstLineChars="200"/>
        <w:rPr>
          <w:rFonts w:cs="宋体"/>
          <w:b/>
          <w:bCs/>
          <w:w w:val="99"/>
          <w:szCs w:val="21"/>
        </w:rPr>
      </w:pPr>
      <w:r>
        <w:rPr>
          <w:rFonts w:hint="eastAsia" w:cs="宋体"/>
          <w:b/>
          <w:bCs/>
          <w:szCs w:val="21"/>
        </w:rPr>
        <w:t>六</w:t>
      </w:r>
      <w:r>
        <w:rPr>
          <w:rFonts w:cs="宋体"/>
          <w:b/>
          <w:bCs/>
          <w:szCs w:val="21"/>
        </w:rPr>
        <w:t>、发布公告的媒介</w:t>
      </w:r>
      <w:r>
        <w:rPr>
          <w:rFonts w:cs="宋体"/>
          <w:b/>
          <w:bCs/>
          <w:w w:val="99"/>
          <w:szCs w:val="21"/>
        </w:rPr>
        <w:t xml:space="preserve"> </w:t>
      </w:r>
    </w:p>
    <w:p>
      <w:pPr>
        <w:pStyle w:val="8"/>
        <w:spacing w:after="0" w:line="360" w:lineRule="auto"/>
        <w:ind w:firstLine="420" w:firstLineChars="200"/>
        <w:rPr>
          <w:szCs w:val="21"/>
        </w:rPr>
      </w:pPr>
      <w:r>
        <w:rPr>
          <w:szCs w:val="21"/>
        </w:rPr>
        <w:t>本次</w:t>
      </w:r>
      <w:r>
        <w:rPr>
          <w:rFonts w:hint="eastAsia"/>
          <w:szCs w:val="21"/>
        </w:rPr>
        <w:t>遴选</w:t>
      </w:r>
      <w:r>
        <w:rPr>
          <w:szCs w:val="21"/>
        </w:rPr>
        <w:t>公告</w:t>
      </w:r>
      <w:r>
        <w:rPr>
          <w:rFonts w:hint="eastAsia"/>
          <w:szCs w:val="21"/>
        </w:rPr>
        <w:t>在城发集团官网</w:t>
      </w:r>
      <w:r>
        <w:rPr>
          <w:szCs w:val="21"/>
        </w:rPr>
        <w:t>公发布</w:t>
      </w:r>
    </w:p>
    <w:p>
      <w:pPr>
        <w:pStyle w:val="8"/>
        <w:spacing w:after="0" w:line="360" w:lineRule="auto"/>
        <w:ind w:firstLine="422" w:firstLineChars="200"/>
        <w:rPr>
          <w:rFonts w:cs="宋体"/>
          <w:b/>
          <w:bCs/>
          <w:szCs w:val="21"/>
        </w:rPr>
      </w:pPr>
      <w:r>
        <w:rPr>
          <w:rFonts w:hint="eastAsia" w:cs="宋体"/>
          <w:b/>
          <w:bCs/>
          <w:szCs w:val="21"/>
        </w:rPr>
        <w:t>七</w:t>
      </w:r>
      <w:r>
        <w:rPr>
          <w:rFonts w:cs="宋体"/>
          <w:b/>
          <w:bCs/>
          <w:szCs w:val="21"/>
        </w:rPr>
        <w:t xml:space="preserve">、联系方式 </w:t>
      </w:r>
    </w:p>
    <w:p>
      <w:pPr>
        <w:pStyle w:val="8"/>
        <w:spacing w:after="0" w:line="360" w:lineRule="auto"/>
        <w:ind w:firstLine="420" w:firstLineChars="200"/>
        <w:rPr>
          <w:szCs w:val="21"/>
        </w:rPr>
      </w:pPr>
      <w:r>
        <w:rPr>
          <w:szCs w:val="21"/>
        </w:rPr>
        <w:t>招标人：</w:t>
      </w:r>
      <w:r>
        <w:rPr>
          <w:rFonts w:hint="eastAsia" w:cs="宋体"/>
          <w:kern w:val="0"/>
          <w:szCs w:val="21"/>
          <w:u w:val="single"/>
        </w:rPr>
        <w:t>黄石市城市建设投资开发有限责任公司</w:t>
      </w:r>
      <w:r>
        <w:rPr>
          <w:szCs w:val="21"/>
        </w:rPr>
        <w:t xml:space="preserve"> </w:t>
      </w:r>
    </w:p>
    <w:p>
      <w:pPr>
        <w:pStyle w:val="8"/>
        <w:spacing w:after="0" w:line="360" w:lineRule="auto"/>
        <w:ind w:firstLine="420" w:firstLineChars="200"/>
        <w:rPr>
          <w:szCs w:val="21"/>
        </w:rPr>
      </w:pPr>
      <w:r>
        <w:rPr>
          <w:szCs w:val="21"/>
        </w:rPr>
        <w:t>联系人：</w:t>
      </w:r>
      <w:r>
        <w:rPr>
          <w:rFonts w:hint="eastAsia"/>
          <w:szCs w:val="21"/>
        </w:rPr>
        <w:t>卫</w:t>
      </w:r>
      <w:r>
        <w:rPr>
          <w:szCs w:val="21"/>
        </w:rPr>
        <w:t>工</w:t>
      </w:r>
    </w:p>
    <w:p>
      <w:pPr>
        <w:pStyle w:val="8"/>
        <w:spacing w:after="0" w:line="360" w:lineRule="auto"/>
        <w:ind w:firstLine="420" w:firstLineChars="200"/>
        <w:rPr>
          <w:rFonts w:ascii="宋体" w:hAnsi="宋体" w:cs="宋体"/>
          <w:szCs w:val="21"/>
        </w:rPr>
      </w:pPr>
      <w:r>
        <w:rPr>
          <w:szCs w:val="21"/>
        </w:rPr>
        <w:t>联系电话：</w:t>
      </w:r>
      <w:r>
        <w:rPr>
          <w:rFonts w:hint="eastAsia"/>
          <w:szCs w:val="21"/>
        </w:rPr>
        <w:t xml:space="preserve">0714-6267659  </w:t>
      </w:r>
    </w:p>
    <w:p>
      <w:pPr>
        <w:pStyle w:val="8"/>
        <w:spacing w:after="0" w:line="360" w:lineRule="auto"/>
        <w:ind w:firstLine="420" w:firstLineChars="200"/>
        <w:rPr>
          <w:szCs w:val="21"/>
        </w:rPr>
      </w:pPr>
      <w:r>
        <w:rPr>
          <w:szCs w:val="21"/>
        </w:rPr>
        <w:t>招标代理：</w:t>
      </w:r>
      <w:r>
        <w:rPr>
          <w:rFonts w:hint="eastAsia"/>
          <w:szCs w:val="21"/>
        </w:rPr>
        <w:t>黄石城发工程咨询</w:t>
      </w:r>
      <w:r>
        <w:rPr>
          <w:szCs w:val="21"/>
        </w:rPr>
        <w:t xml:space="preserve">有限公司 </w:t>
      </w:r>
    </w:p>
    <w:p>
      <w:pPr>
        <w:pStyle w:val="8"/>
        <w:spacing w:after="0" w:line="360" w:lineRule="auto"/>
        <w:ind w:firstLine="420" w:firstLineChars="200"/>
        <w:rPr>
          <w:szCs w:val="21"/>
        </w:rPr>
      </w:pPr>
      <w:r>
        <w:rPr>
          <w:szCs w:val="21"/>
        </w:rPr>
        <w:t>联系人：</w:t>
      </w:r>
      <w:r>
        <w:rPr>
          <w:rFonts w:hint="eastAsia"/>
          <w:szCs w:val="21"/>
        </w:rPr>
        <w:t>万</w:t>
      </w:r>
      <w:r>
        <w:rPr>
          <w:szCs w:val="21"/>
        </w:rPr>
        <w:t>工</w:t>
      </w:r>
    </w:p>
    <w:p>
      <w:pPr>
        <w:pStyle w:val="8"/>
        <w:spacing w:after="0" w:line="360" w:lineRule="auto"/>
        <w:ind w:firstLine="420" w:firstLineChars="200"/>
        <w:rPr>
          <w:szCs w:val="21"/>
        </w:rPr>
      </w:pPr>
      <w:r>
        <w:rPr>
          <w:szCs w:val="21"/>
        </w:rPr>
        <w:t>联系电话：</w:t>
      </w:r>
      <w:r>
        <w:rPr>
          <w:rFonts w:hint="eastAsia"/>
          <w:szCs w:val="21"/>
        </w:rPr>
        <w:t>0714-6380886</w:t>
      </w:r>
    </w:p>
    <w:p>
      <w:pPr>
        <w:pStyle w:val="8"/>
        <w:spacing w:after="0" w:line="360" w:lineRule="auto"/>
        <w:ind w:firstLine="420" w:firstLineChars="200"/>
        <w:rPr>
          <w:szCs w:val="21"/>
        </w:rPr>
      </w:pPr>
      <w:r>
        <w:rPr>
          <w:szCs w:val="21"/>
        </w:rPr>
        <w:t>地址：黄石市</w:t>
      </w:r>
      <w:r>
        <w:rPr>
          <w:rFonts w:hint="eastAsia"/>
          <w:szCs w:val="21"/>
        </w:rPr>
        <w:t>下陆区磁湖路198号</w:t>
      </w:r>
      <w:r>
        <w:rPr>
          <w:szCs w:val="21"/>
        </w:rPr>
        <w:t xml:space="preserve"> </w:t>
      </w:r>
    </w:p>
    <w:p>
      <w:pPr>
        <w:pStyle w:val="8"/>
        <w:spacing w:after="0" w:line="360" w:lineRule="auto"/>
        <w:ind w:firstLine="420" w:firstLineChars="200"/>
        <w:rPr>
          <w:rFonts w:cs="宋体"/>
          <w:szCs w:val="21"/>
        </w:rPr>
      </w:pPr>
      <w:r>
        <w:rPr>
          <w:szCs w:val="21"/>
        </w:rPr>
        <w:t>电子邮箱：</w:t>
      </w:r>
      <w:r>
        <w:rPr>
          <w:rFonts w:hint="eastAsia"/>
          <w:szCs w:val="21"/>
        </w:rPr>
        <w:t>13700253@qq.com</w:t>
      </w:r>
    </w:p>
    <w:p>
      <w:pPr>
        <w:rPr>
          <w:rFonts w:ascii="宋体" w:hAnsi="宋体" w:cs="宋体"/>
          <w:szCs w:val="21"/>
        </w:rPr>
      </w:pPr>
    </w:p>
    <w:p>
      <w:pPr>
        <w:rPr>
          <w:rFonts w:ascii="宋体" w:hAnsi="宋体" w:cs="宋体"/>
          <w:szCs w:val="21"/>
        </w:rPr>
      </w:pPr>
    </w:p>
    <w:p>
      <w:pPr>
        <w:pStyle w:val="8"/>
        <w:spacing w:before="170"/>
        <w:ind w:right="109"/>
        <w:jc w:val="right"/>
        <w:rPr>
          <w:szCs w:val="21"/>
        </w:rPr>
      </w:pPr>
      <w:r>
        <w:rPr>
          <w:rFonts w:hint="eastAsia"/>
          <w:szCs w:val="21"/>
        </w:rPr>
        <w:t>黄石城发工程咨询</w:t>
      </w:r>
      <w:r>
        <w:rPr>
          <w:szCs w:val="21"/>
        </w:rPr>
        <w:t>有限公司</w:t>
      </w:r>
    </w:p>
    <w:p>
      <w:pPr>
        <w:pStyle w:val="8"/>
        <w:wordWrap w:val="0"/>
        <w:spacing w:before="146"/>
        <w:ind w:right="109"/>
        <w:jc w:val="right"/>
        <w:rPr>
          <w:szCs w:val="21"/>
        </w:rPr>
      </w:pPr>
      <w:r>
        <w:rPr>
          <w:szCs w:val="21"/>
        </w:rPr>
        <w:t>202</w:t>
      </w:r>
      <w:r>
        <w:rPr>
          <w:rFonts w:hint="eastAsia"/>
          <w:szCs w:val="21"/>
        </w:rPr>
        <w:t>2</w:t>
      </w:r>
      <w:r>
        <w:rPr>
          <w:szCs w:val="21"/>
        </w:rPr>
        <w:t>年</w:t>
      </w:r>
      <w:r>
        <w:rPr>
          <w:rFonts w:hint="eastAsia"/>
          <w:szCs w:val="21"/>
        </w:rPr>
        <w:t>7</w:t>
      </w:r>
      <w:r>
        <w:rPr>
          <w:szCs w:val="21"/>
        </w:rPr>
        <w:t>月</w:t>
      </w:r>
      <w:r>
        <w:rPr>
          <w:rFonts w:hint="eastAsia"/>
          <w:szCs w:val="21"/>
          <w:lang w:val="en-US" w:eastAsia="zh-CN"/>
        </w:rPr>
        <w:t>26</w:t>
      </w:r>
      <w:bookmarkStart w:id="10" w:name="_GoBack"/>
      <w:bookmarkEnd w:id="10"/>
      <w:r>
        <w:rPr>
          <w:szCs w:val="21"/>
        </w:rPr>
        <w:t>日</w:t>
      </w:r>
    </w:p>
    <w:p>
      <w:pPr>
        <w:jc w:val="right"/>
        <w:rPr>
          <w:szCs w:val="21"/>
        </w:rPr>
      </w:pPr>
    </w:p>
    <w:p>
      <w:pPr>
        <w:jc w:val="left"/>
        <w:rPr>
          <w:szCs w:val="21"/>
        </w:rPr>
        <w:sectPr>
          <w:pgSz w:w="11910" w:h="16840"/>
          <w:pgMar w:top="1480" w:right="1420" w:bottom="1420" w:left="1360" w:header="1274" w:footer="1232" w:gutter="0"/>
          <w:cols w:space="720" w:num="1"/>
        </w:sectPr>
      </w:pPr>
      <w:r>
        <w:rPr>
          <w:rFonts w:hint="eastAsia"/>
          <w:szCs w:val="21"/>
        </w:rPr>
        <w:t>附采购需求、评分办法及报名表</w:t>
      </w:r>
    </w:p>
    <w:p>
      <w:pPr>
        <w:spacing w:line="360" w:lineRule="auto"/>
        <w:jc w:val="center"/>
        <w:rPr>
          <w:rFonts w:hint="eastAsia" w:cs="宋体" w:asciiTheme="minorEastAsia" w:hAnsiTheme="minorEastAsia"/>
          <w:b/>
          <w:sz w:val="32"/>
          <w:szCs w:val="32"/>
        </w:rPr>
      </w:pPr>
      <w:r>
        <w:rPr>
          <w:rFonts w:hint="eastAsia" w:cs="宋体" w:asciiTheme="minorEastAsia" w:hAnsiTheme="minorEastAsia"/>
          <w:b/>
          <w:sz w:val="32"/>
          <w:szCs w:val="32"/>
        </w:rPr>
        <w:t>采购需求</w:t>
      </w:r>
    </w:p>
    <w:p>
      <w:pPr>
        <w:numPr>
          <w:ilvl w:val="0"/>
          <w:numId w:val="1"/>
        </w:numPr>
        <w:spacing w:line="276" w:lineRule="auto"/>
        <w:rPr>
          <w:rFonts w:hint="eastAsia" w:asciiTheme="minorEastAsia" w:hAnsiTheme="minorEastAsia"/>
          <w:b/>
          <w:szCs w:val="21"/>
          <w:lang w:eastAsia="zh-CN"/>
        </w:rPr>
      </w:pPr>
      <w:r>
        <w:rPr>
          <w:rFonts w:hint="eastAsia" w:asciiTheme="minorEastAsia" w:hAnsiTheme="minorEastAsia"/>
          <w:b/>
          <w:szCs w:val="21"/>
          <w:lang w:eastAsia="zh-CN"/>
        </w:rPr>
        <w:t>采购清单</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2675"/>
        <w:gridCol w:w="10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3" w:type="dxa"/>
            <w:vAlign w:val="center"/>
          </w:tcPr>
          <w:p>
            <w:pPr>
              <w:pStyle w:val="13"/>
              <w:numPr>
                <w:ilvl w:val="0"/>
                <w:numId w:val="0"/>
              </w:numPr>
              <w:jc w:val="center"/>
              <w:rPr>
                <w:rFonts w:hint="eastAsia"/>
                <w:vertAlign w:val="baseline"/>
                <w:lang w:eastAsia="zh-CN"/>
              </w:rPr>
            </w:pPr>
            <w:r>
              <w:rPr>
                <w:rFonts w:hint="eastAsia"/>
                <w:vertAlign w:val="baseline"/>
                <w:lang w:eastAsia="zh-CN"/>
              </w:rPr>
              <w:t>序号</w:t>
            </w:r>
          </w:p>
        </w:tc>
        <w:tc>
          <w:tcPr>
            <w:tcW w:w="2675" w:type="dxa"/>
            <w:vAlign w:val="center"/>
          </w:tcPr>
          <w:p>
            <w:pPr>
              <w:pStyle w:val="13"/>
              <w:numPr>
                <w:ilvl w:val="0"/>
                <w:numId w:val="0"/>
              </w:numPr>
              <w:jc w:val="center"/>
              <w:rPr>
                <w:rFonts w:hint="eastAsia"/>
                <w:vertAlign w:val="baseline"/>
                <w:lang w:eastAsia="zh-CN"/>
              </w:rPr>
            </w:pPr>
            <w:r>
              <w:rPr>
                <w:rFonts w:hint="eastAsia"/>
                <w:vertAlign w:val="baseline"/>
                <w:lang w:eastAsia="zh-CN"/>
              </w:rPr>
              <w:t>名称</w:t>
            </w:r>
          </w:p>
        </w:tc>
        <w:tc>
          <w:tcPr>
            <w:tcW w:w="10630" w:type="dxa"/>
            <w:vAlign w:val="center"/>
          </w:tcPr>
          <w:p>
            <w:pPr>
              <w:pStyle w:val="13"/>
              <w:numPr>
                <w:ilvl w:val="0"/>
                <w:numId w:val="0"/>
              </w:numPr>
              <w:jc w:val="center"/>
              <w:rPr>
                <w:rFonts w:hint="eastAsia"/>
                <w:vertAlign w:val="baseline"/>
                <w:lang w:eastAsia="zh-CN"/>
              </w:rPr>
            </w:pPr>
            <w:r>
              <w:rPr>
                <w:rFonts w:hint="eastAsia"/>
                <w:vertAlign w:val="baseli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1</w:t>
            </w:r>
          </w:p>
        </w:tc>
        <w:tc>
          <w:tcPr>
            <w:tcW w:w="2675" w:type="dxa"/>
            <w:vAlign w:val="center"/>
          </w:tcPr>
          <w:p>
            <w:pPr>
              <w:pStyle w:val="13"/>
              <w:numPr>
                <w:ilvl w:val="0"/>
                <w:numId w:val="0"/>
              </w:numPr>
              <w:jc w:val="center"/>
              <w:rPr>
                <w:rFonts w:hint="eastAsia"/>
                <w:vertAlign w:val="baseline"/>
                <w:lang w:eastAsia="zh-CN"/>
              </w:rPr>
            </w:pPr>
            <w:r>
              <w:rPr>
                <w:rFonts w:hint="eastAsia"/>
                <w:vertAlign w:val="baseline"/>
                <w:lang w:eastAsia="zh-CN"/>
              </w:rPr>
              <w:t>高低床</w:t>
            </w:r>
          </w:p>
        </w:tc>
        <w:tc>
          <w:tcPr>
            <w:tcW w:w="10630"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1086张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2</w:t>
            </w:r>
          </w:p>
        </w:tc>
        <w:tc>
          <w:tcPr>
            <w:tcW w:w="2675" w:type="dxa"/>
            <w:vAlign w:val="center"/>
          </w:tcPr>
          <w:p>
            <w:pPr>
              <w:pStyle w:val="13"/>
              <w:numPr>
                <w:ilvl w:val="0"/>
                <w:numId w:val="0"/>
              </w:numPr>
              <w:jc w:val="center"/>
              <w:rPr>
                <w:rFonts w:hint="eastAsia"/>
                <w:vertAlign w:val="baseline"/>
                <w:lang w:eastAsia="zh-CN"/>
              </w:rPr>
            </w:pPr>
            <w:r>
              <w:rPr>
                <w:rFonts w:hint="eastAsia"/>
                <w:vertAlign w:val="baseline"/>
                <w:lang w:eastAsia="zh-CN"/>
              </w:rPr>
              <w:t>高低床（不含下床）</w:t>
            </w:r>
          </w:p>
        </w:tc>
        <w:tc>
          <w:tcPr>
            <w:tcW w:w="10630"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362张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3</w:t>
            </w:r>
          </w:p>
        </w:tc>
        <w:tc>
          <w:tcPr>
            <w:tcW w:w="2675" w:type="dxa"/>
            <w:vAlign w:val="center"/>
          </w:tcPr>
          <w:p>
            <w:pPr>
              <w:pStyle w:val="13"/>
              <w:numPr>
                <w:ilvl w:val="0"/>
                <w:numId w:val="0"/>
              </w:numPr>
              <w:jc w:val="center"/>
              <w:rPr>
                <w:rFonts w:hint="eastAsia"/>
                <w:vertAlign w:val="baseline"/>
                <w:lang w:eastAsia="zh-CN"/>
              </w:rPr>
            </w:pPr>
            <w:r>
              <w:rPr>
                <w:rFonts w:hint="eastAsia"/>
                <w:vertAlign w:val="baseline"/>
                <w:lang w:eastAsia="zh-CN"/>
              </w:rPr>
              <w:t>中梯</w:t>
            </w:r>
          </w:p>
        </w:tc>
        <w:tc>
          <w:tcPr>
            <w:tcW w:w="10630" w:type="dxa"/>
            <w:vAlign w:val="center"/>
          </w:tcPr>
          <w:p>
            <w:pPr>
              <w:pStyle w:val="13"/>
              <w:numPr>
                <w:ilvl w:val="0"/>
                <w:numId w:val="0"/>
              </w:numPr>
              <w:jc w:val="center"/>
              <w:rPr>
                <w:rFonts w:hint="default"/>
                <w:vertAlign w:val="baseline"/>
                <w:lang w:val="en-US" w:eastAsia="zh-CN"/>
              </w:rPr>
            </w:pPr>
            <w:r>
              <w:rPr>
                <w:rFonts w:hint="eastAsia"/>
                <w:vertAlign w:val="baseline"/>
                <w:lang w:val="en-US" w:eastAsia="zh-CN"/>
              </w:rPr>
              <w:t>724架</w:t>
            </w:r>
          </w:p>
        </w:tc>
      </w:tr>
    </w:tbl>
    <w:p>
      <w:pPr>
        <w:pStyle w:val="13"/>
        <w:numPr>
          <w:ilvl w:val="0"/>
          <w:numId w:val="0"/>
        </w:numPr>
        <w:rPr>
          <w:rFonts w:hint="eastAsia"/>
          <w:lang w:eastAsia="zh-CN"/>
        </w:rPr>
      </w:pPr>
    </w:p>
    <w:p>
      <w:pPr>
        <w:spacing w:line="276" w:lineRule="auto"/>
        <w:rPr>
          <w:rFonts w:asciiTheme="minorEastAsia" w:hAnsiTheme="minorEastAsia"/>
          <w:szCs w:val="21"/>
        </w:rPr>
      </w:pPr>
      <w:r>
        <w:rPr>
          <w:rFonts w:hint="eastAsia" w:asciiTheme="minorEastAsia" w:hAnsiTheme="minorEastAsia"/>
          <w:b/>
          <w:szCs w:val="21"/>
          <w:lang w:eastAsia="zh-CN"/>
        </w:rPr>
        <w:t>二</w:t>
      </w:r>
      <w:r>
        <w:rPr>
          <w:rFonts w:hint="eastAsia" w:asciiTheme="minorEastAsia" w:hAnsiTheme="minorEastAsia"/>
          <w:b/>
          <w:szCs w:val="21"/>
        </w:rPr>
        <w:t>、</w:t>
      </w:r>
      <w:r>
        <w:rPr>
          <w:rFonts w:hint="eastAsia" w:cs="宋体" w:asciiTheme="minorEastAsia" w:hAnsiTheme="minorEastAsia"/>
          <w:b/>
          <w:szCs w:val="21"/>
          <w:lang w:eastAsia="zh-CN"/>
        </w:rPr>
        <w:t>技术</w:t>
      </w:r>
      <w:r>
        <w:rPr>
          <w:rFonts w:hint="eastAsia" w:cs="宋体" w:asciiTheme="minorEastAsia" w:hAnsiTheme="minorEastAsia"/>
          <w:b/>
          <w:szCs w:val="21"/>
        </w:rPr>
        <w:t>参数</w:t>
      </w:r>
    </w:p>
    <w:tbl>
      <w:tblPr>
        <w:tblStyle w:val="16"/>
        <w:tblW w:w="14234" w:type="dxa"/>
        <w:jc w:val="center"/>
        <w:tblLayout w:type="fixed"/>
        <w:tblCellMar>
          <w:top w:w="15" w:type="dxa"/>
          <w:left w:w="15" w:type="dxa"/>
          <w:bottom w:w="15" w:type="dxa"/>
          <w:right w:w="15" w:type="dxa"/>
        </w:tblCellMar>
      </w:tblPr>
      <w:tblGrid>
        <w:gridCol w:w="851"/>
        <w:gridCol w:w="1497"/>
        <w:gridCol w:w="11886"/>
      </w:tblGrid>
      <w:tr>
        <w:tblPrEx>
          <w:tblCellMar>
            <w:top w:w="15" w:type="dxa"/>
            <w:left w:w="15" w:type="dxa"/>
            <w:bottom w:w="15" w:type="dxa"/>
            <w:right w:w="15" w:type="dxa"/>
          </w:tblCellMar>
        </w:tblPrEx>
        <w:trPr>
          <w:trHeight w:val="612"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pStyle w:val="14"/>
              <w:spacing w:line="360" w:lineRule="auto"/>
              <w:rPr>
                <w:rStyle w:val="19"/>
                <w:rFonts w:asciiTheme="minorEastAsia" w:hAnsiTheme="minorEastAsia" w:eastAsiaTheme="minorEastAsia"/>
                <w:b w:val="0"/>
                <w:color w:val="000000"/>
                <w:sz w:val="21"/>
                <w:szCs w:val="21"/>
              </w:rPr>
            </w:pPr>
            <w:r>
              <w:rPr>
                <w:rStyle w:val="19"/>
                <w:rFonts w:hint="eastAsia" w:asciiTheme="minorEastAsia" w:hAnsiTheme="minorEastAsia" w:eastAsiaTheme="minorEastAsia"/>
                <w:color w:val="000000"/>
                <w:sz w:val="21"/>
                <w:szCs w:val="21"/>
              </w:rPr>
              <w:t>序号</w:t>
            </w:r>
          </w:p>
        </w:tc>
        <w:tc>
          <w:tcPr>
            <w:tcW w:w="149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Style w:val="14"/>
              <w:spacing w:line="360" w:lineRule="auto"/>
              <w:jc w:val="center"/>
              <w:rPr>
                <w:rFonts w:asciiTheme="minorEastAsia" w:hAnsiTheme="minorEastAsia" w:eastAsiaTheme="minorEastAsia"/>
                <w:b/>
                <w:color w:val="000000"/>
                <w:sz w:val="21"/>
                <w:szCs w:val="21"/>
              </w:rPr>
            </w:pPr>
            <w:r>
              <w:rPr>
                <w:rStyle w:val="19"/>
                <w:rFonts w:hint="eastAsia" w:asciiTheme="minorEastAsia" w:hAnsiTheme="minorEastAsia" w:eastAsiaTheme="minorEastAsia"/>
                <w:color w:val="000000"/>
                <w:sz w:val="21"/>
                <w:szCs w:val="21"/>
              </w:rPr>
              <w:t>名称</w:t>
            </w:r>
          </w:p>
        </w:tc>
        <w:tc>
          <w:tcPr>
            <w:tcW w:w="11886"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360" w:lineRule="auto"/>
              <w:jc w:val="center"/>
              <w:textAlignment w:val="center"/>
              <w:rPr>
                <w:rStyle w:val="19"/>
                <w:rFonts w:asciiTheme="minorEastAsia" w:hAnsiTheme="minorEastAsia"/>
                <w:b w:val="0"/>
                <w:szCs w:val="21"/>
              </w:rPr>
            </w:pPr>
            <w:r>
              <w:rPr>
                <w:rStyle w:val="19"/>
                <w:rFonts w:hint="eastAsia" w:asciiTheme="minorEastAsia" w:hAnsiTheme="minorEastAsia"/>
                <w:szCs w:val="21"/>
              </w:rPr>
              <w:t>配置参数</w:t>
            </w:r>
          </w:p>
        </w:tc>
      </w:tr>
      <w:tr>
        <w:tblPrEx>
          <w:tblCellMar>
            <w:top w:w="15" w:type="dxa"/>
            <w:left w:w="15" w:type="dxa"/>
            <w:bottom w:w="15" w:type="dxa"/>
            <w:right w:w="15" w:type="dxa"/>
          </w:tblCellMar>
        </w:tblPrEx>
        <w:trPr>
          <w:trHeight w:val="467"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pStyle w:val="14"/>
              <w:spacing w:line="360" w:lineRule="auto"/>
              <w:jc w:val="center"/>
              <w:textAlignment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1</w:t>
            </w:r>
          </w:p>
        </w:tc>
        <w:tc>
          <w:tcPr>
            <w:tcW w:w="149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jc w:val="center"/>
              <w:textAlignment w:val="center"/>
              <w:rPr>
                <w:rFonts w:asciiTheme="minorEastAsia" w:hAnsiTheme="minorEastAsia"/>
                <w:szCs w:val="21"/>
              </w:rPr>
            </w:pPr>
            <w:r>
              <w:rPr>
                <w:rFonts w:hint="eastAsia" w:cs="仿宋_GB2312" w:asciiTheme="minorEastAsia" w:hAnsiTheme="minorEastAsia"/>
                <w:bCs/>
                <w:szCs w:val="21"/>
              </w:rPr>
              <w:t>七人间公寓床（带中梯）</w:t>
            </w:r>
          </w:p>
        </w:tc>
        <w:tc>
          <w:tcPr>
            <w:tcW w:w="1188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auto"/>
              <w:rPr>
                <w:rFonts w:ascii="宋体" w:hAnsi="宋体"/>
                <w:szCs w:val="21"/>
              </w:rPr>
            </w:pPr>
            <w:r>
              <w:rPr>
                <w:rFonts w:hint="eastAsia" w:ascii="宋体" w:hAnsi="宋体" w:cs="宋体"/>
                <w:szCs w:val="21"/>
              </w:rPr>
              <w:t>（1）所有货物（包括零部件）须为全新的、未使用过的原装正品。</w:t>
            </w:r>
          </w:p>
          <w:p>
            <w:pPr>
              <w:widowControl/>
              <w:spacing w:line="360" w:lineRule="auto"/>
              <w:rPr>
                <w:rFonts w:ascii="宋体" w:hAnsi="宋体"/>
                <w:szCs w:val="21"/>
              </w:rPr>
            </w:pPr>
            <w:r>
              <w:rPr>
                <w:rFonts w:hint="eastAsia" w:ascii="宋体" w:hAnsi="宋体" w:cs="宋体"/>
                <w:szCs w:val="21"/>
              </w:rPr>
              <w:t>（2）公寓床必须符合QB/T2741-2013《学生公寓多功能家具》、GB/18584-2001《室内装饰装修材料 木家具中有害物质限量》检测全项检测（检测内容至少包含：形状位置公差、木质件外观要求、金属件外观要求、塑料件外观要求、其它外观要求、标识、木质件表面理化性能、金属件表面理化性能、桌类力学性能、柜类力学性能、床类力学性能、书架力学性能、甲醛释放量等）。</w:t>
            </w:r>
          </w:p>
          <w:p>
            <w:pPr>
              <w:widowControl/>
              <w:spacing w:line="360" w:lineRule="auto"/>
              <w:rPr>
                <w:rFonts w:ascii="宋体" w:hAnsi="宋体"/>
                <w:szCs w:val="21"/>
              </w:rPr>
            </w:pPr>
            <w:r>
              <w:rPr>
                <w:rFonts w:hint="eastAsia" w:ascii="宋体" w:hAnsi="宋体" w:cs="宋体"/>
                <w:szCs w:val="21"/>
              </w:rPr>
              <w:t>（3）所用管材均为优质高频焊管，焊接采用CO2保护焊全焊，焊缝要光滑平整，无虚焊、假焊、气泡、夹渣等，金属表面处理经过：除油--水洗--除锈--水洗--中和--水洗--表调—陶化--水洗--烘干--静电喷塑--200℃高温固化，采用全自动前处理和喷塑生产线。采用环氧聚酯粉末，然后使用符合国家环保标准的优质塑粉高压静电喷塑。</w:t>
            </w:r>
          </w:p>
          <w:p>
            <w:pPr>
              <w:spacing w:line="360" w:lineRule="auto"/>
              <w:rPr>
                <w:rFonts w:ascii="宋体" w:hAnsi="宋体" w:cs="宋体"/>
                <w:bCs/>
                <w:szCs w:val="21"/>
              </w:rPr>
            </w:pPr>
            <w:r>
              <w:rPr>
                <w:rFonts w:hint="eastAsia" w:ascii="宋体" w:hAnsi="宋体" w:cs="宋体"/>
                <w:szCs w:val="21"/>
              </w:rPr>
              <w:t>连体床整体部分：</w:t>
            </w:r>
            <w:r>
              <w:rPr>
                <w:rFonts w:hint="eastAsia" w:ascii="宋体" w:hAnsi="宋体" w:cs="宋体"/>
                <w:bCs/>
                <w:szCs w:val="21"/>
              </w:rPr>
              <w:t>整体规格：</w:t>
            </w:r>
            <w:r>
              <w:rPr>
                <w:rFonts w:ascii="宋体" w:hAnsi="宋体" w:cs="宋体"/>
                <w:bCs/>
                <w:szCs w:val="21"/>
              </w:rPr>
              <w:t>438</w:t>
            </w:r>
            <w:r>
              <w:rPr>
                <w:rFonts w:hint="eastAsia" w:ascii="宋体" w:hAnsi="宋体" w:cs="宋体"/>
                <w:bCs/>
                <w:szCs w:val="21"/>
              </w:rPr>
              <w:t>0mm*900*2100/3100mm；中梯宽500mm*900mm*高</w:t>
            </w:r>
            <w:r>
              <w:rPr>
                <w:rFonts w:hint="eastAsia" w:ascii="宋体" w:hAnsi="宋体" w:cs="宋体"/>
                <w:bCs/>
                <w:szCs w:val="21"/>
                <w:lang w:val="en-US" w:eastAsia="zh-CN"/>
              </w:rPr>
              <w:t>1500</w:t>
            </w:r>
            <w:r>
              <w:rPr>
                <w:rFonts w:hint="eastAsia" w:ascii="宋体" w:hAnsi="宋体" w:cs="宋体"/>
                <w:bCs/>
                <w:szCs w:val="21"/>
              </w:rPr>
              <w:t>mm</w:t>
            </w:r>
            <w:r>
              <w:rPr>
                <w:rFonts w:hint="eastAsia" w:ascii="宋体" w:hAnsi="宋体" w:cs="宋体"/>
                <w:szCs w:val="21"/>
              </w:rPr>
              <w:t>）</w:t>
            </w:r>
            <w:r>
              <w:rPr>
                <w:rFonts w:hint="eastAsia" w:ascii="宋体" w:hAnsi="宋体" w:cs="宋体"/>
                <w:bCs/>
                <w:szCs w:val="21"/>
              </w:rPr>
              <w:t>；</w:t>
            </w:r>
          </w:p>
          <w:p>
            <w:pPr>
              <w:pStyle w:val="36"/>
              <w:numPr>
                <w:ilvl w:val="0"/>
                <w:numId w:val="2"/>
              </w:numPr>
              <w:ind w:right="-105" w:rightChars="-50" w:firstLine="200" w:firstLineChars="0"/>
              <w:rPr>
                <w:rFonts w:hint="eastAsia"/>
                <w:sz w:val="21"/>
                <w:szCs w:val="21"/>
              </w:rPr>
            </w:pPr>
            <w:r>
              <w:rPr>
                <w:rFonts w:hint="eastAsia"/>
                <w:sz w:val="21"/>
                <w:szCs w:val="21"/>
              </w:rPr>
              <w:t xml:space="preserve">材质说明：床立柱：采用优质冷轧钢板经特制成型线轧制而成，其立面为中空异形成型后点焊为封口状，立柱正面为L型正角处弧形设计，成型后立面尺寸为≥77mm*77mm，侧面成型后尺寸为≥37mm*37mm，中间向外角为半圆弧形，保证学生安全。为达到美观、耐用效果：立柱向外两面表面各具有一大一小内凹的加强筋各一根（共4根），大筋≥22mm，小筋≥7mm；厚度为≥1.2mm。轧制成型后接口采用不低于6处点焊连接，能有效避免立柱不会展开。   </w:t>
            </w:r>
          </w:p>
          <w:p>
            <w:pPr>
              <w:pStyle w:val="36"/>
              <w:ind w:firstLine="0" w:firstLineChars="0"/>
              <w:rPr>
                <w:sz w:val="21"/>
                <w:szCs w:val="21"/>
              </w:rPr>
            </w:pPr>
            <w:r>
              <w:rPr>
                <w:rFonts w:hint="eastAsia"/>
                <w:sz w:val="21"/>
                <w:szCs w:val="21"/>
              </w:rPr>
              <w:t xml:space="preserve">2、床长横梁：采用优质冷轧钢板经特制成型线轧制而成的型材，其立面为中空异形，成型后立面尺寸为85mm×36mm，正面须有两条≥8mm向内凹的加强筋。靠内一面预留≥32mm开口，方面安装承接卡扣，向上一端倒≥8mm折弯闭合，能有效保护学生安全。材料厚度≥1.2mm。                                                                                                 </w:t>
            </w:r>
          </w:p>
          <w:p>
            <w:pPr>
              <w:spacing w:line="360" w:lineRule="auto"/>
              <w:rPr>
                <w:rFonts w:ascii="宋体" w:hAnsi="宋体"/>
                <w:szCs w:val="21"/>
              </w:rPr>
            </w:pPr>
            <w:r>
              <w:rPr>
                <w:rFonts w:hint="eastAsia" w:ascii="宋体" w:hAnsi="宋体" w:cs="宋体"/>
                <w:szCs w:val="21"/>
              </w:rPr>
              <w:t>3、横档：采用≥20mm*30mm方管1.2mm厚共五根；。</w:t>
            </w:r>
          </w:p>
          <w:p>
            <w:pPr>
              <w:pStyle w:val="36"/>
              <w:ind w:firstLine="0" w:firstLineChars="0"/>
              <w:rPr>
                <w:color w:val="000000"/>
                <w:sz w:val="21"/>
                <w:szCs w:val="21"/>
              </w:rPr>
            </w:pPr>
            <w:r>
              <w:rPr>
                <w:rFonts w:hint="eastAsia"/>
                <w:sz w:val="21"/>
                <w:szCs w:val="21"/>
              </w:rPr>
              <w:t>4、前护栏：支架为25*25* 1.2mm 厚优质方管制作，内镶嵌两块</w:t>
            </w:r>
            <w:r>
              <w:rPr>
                <w:rFonts w:hint="eastAsia"/>
                <w:color w:val="000000"/>
                <w:sz w:val="21"/>
                <w:szCs w:val="21"/>
              </w:rPr>
              <w:t>环保生态板,护栏内采用不少于3根20*1.2mm方管立撑且与床横梁为一体式焊接，护栏长度为≥1760mm，护栏高度为≥300mm 。</w:t>
            </w:r>
          </w:p>
          <w:p>
            <w:pPr>
              <w:pStyle w:val="36"/>
              <w:ind w:firstLine="0" w:firstLineChars="0"/>
              <w:rPr>
                <w:sz w:val="21"/>
                <w:szCs w:val="21"/>
              </w:rPr>
            </w:pPr>
            <w:r>
              <w:rPr>
                <w:rFonts w:hint="eastAsia"/>
                <w:color w:val="000000"/>
                <w:sz w:val="21"/>
                <w:szCs w:val="21"/>
              </w:rPr>
              <w:t>5、</w:t>
            </w:r>
            <w:r>
              <w:rPr>
                <w:rFonts w:hint="eastAsia"/>
                <w:sz w:val="21"/>
                <w:szCs w:val="21"/>
              </w:rPr>
              <w:t xml:space="preserve">床头屏:25mm方管1.2mm厚和25mm*50mm*1.2mm方管，立撑采用20mm*1.2mm厚的方管3根；    </w:t>
            </w:r>
          </w:p>
          <w:p>
            <w:pPr>
              <w:pStyle w:val="36"/>
              <w:ind w:firstLine="0" w:firstLineChars="0"/>
              <w:rPr>
                <w:color w:val="000000"/>
                <w:sz w:val="21"/>
                <w:szCs w:val="21"/>
              </w:rPr>
            </w:pPr>
            <w:r>
              <w:rPr>
                <w:rFonts w:hint="eastAsia"/>
                <w:sz w:val="21"/>
                <w:szCs w:val="21"/>
              </w:rPr>
              <w:t>6、</w:t>
            </w:r>
            <w:r>
              <w:rPr>
                <w:rFonts w:hint="eastAsia"/>
                <w:color w:val="000000"/>
                <w:sz w:val="21"/>
                <w:szCs w:val="21"/>
              </w:rPr>
              <w:t>床板：</w:t>
            </w:r>
            <w:r>
              <w:rPr>
                <w:rFonts w:hint="eastAsia"/>
                <w:sz w:val="21"/>
                <w:szCs w:val="21"/>
              </w:rPr>
              <w:t>采用</w:t>
            </w:r>
            <w:r>
              <w:rPr>
                <w:rFonts w:hint="eastAsia"/>
                <w:color w:val="000000"/>
                <w:sz w:val="21"/>
                <w:szCs w:val="21"/>
              </w:rPr>
              <w:t>≥18mm的实木</w:t>
            </w:r>
            <w:r>
              <w:rPr>
                <w:rFonts w:hint="eastAsia"/>
                <w:sz w:val="21"/>
                <w:szCs w:val="21"/>
              </w:rPr>
              <w:t>杉木床板，（床板数≦7块合成）板材足料，无边料，无霉点，双面抛光，床板符合铁床规格要求；</w:t>
            </w:r>
            <w:r>
              <w:rPr>
                <w:rFonts w:hint="eastAsia"/>
                <w:color w:val="000000"/>
                <w:sz w:val="21"/>
                <w:szCs w:val="21"/>
              </w:rPr>
              <w:t>床板托采用 3 根 37*27mm的实木方料制作</w:t>
            </w:r>
            <w:r>
              <w:rPr>
                <w:rFonts w:hint="eastAsia"/>
                <w:sz w:val="21"/>
                <w:szCs w:val="21"/>
              </w:rPr>
              <w:t>；</w:t>
            </w:r>
          </w:p>
          <w:p>
            <w:pPr>
              <w:pStyle w:val="36"/>
              <w:ind w:firstLine="0" w:firstLineChars="0"/>
              <w:rPr>
                <w:sz w:val="21"/>
                <w:szCs w:val="21"/>
              </w:rPr>
            </w:pPr>
            <w:r>
              <w:rPr>
                <w:sz w:val="21"/>
                <w:szCs w:val="21"/>
              </w:rPr>
              <w:t>7</w:t>
            </w:r>
            <w:r>
              <w:rPr>
                <w:rFonts w:hint="eastAsia"/>
                <w:sz w:val="21"/>
                <w:szCs w:val="21"/>
              </w:rPr>
              <w:t>、胶套：立柱上端及下端均采用ABS工程塑料套（塞），形状与立柱完全吻合，上端高度为28mm，底部高度为28mm，起到防潮的作用。</w:t>
            </w:r>
          </w:p>
          <w:p>
            <w:pPr>
              <w:spacing w:line="360" w:lineRule="auto"/>
              <w:rPr>
                <w:rFonts w:ascii="宋体" w:hAnsi="宋体" w:cs="宋体"/>
                <w:szCs w:val="21"/>
              </w:rPr>
            </w:pPr>
            <w:r>
              <w:rPr>
                <w:rFonts w:ascii="宋体" w:hAnsi="宋体" w:cs="宋体"/>
                <w:szCs w:val="21"/>
              </w:rPr>
              <w:t>8</w:t>
            </w:r>
            <w:r>
              <w:rPr>
                <w:rFonts w:hint="eastAsia" w:ascii="宋体" w:hAnsi="宋体" w:cs="宋体"/>
                <w:szCs w:val="21"/>
              </w:rPr>
              <w:t>、蚊帐架采用Φ19mm*1.0mm厚的圆管制作，采用pp塑料三通连接件。</w:t>
            </w:r>
          </w:p>
          <w:p>
            <w:pPr>
              <w:pStyle w:val="36"/>
              <w:ind w:firstLine="0" w:firstLineChars="0"/>
              <w:rPr>
                <w:sz w:val="21"/>
                <w:szCs w:val="21"/>
              </w:rPr>
            </w:pPr>
            <w:r>
              <w:rPr>
                <w:rFonts w:hint="eastAsia"/>
                <w:sz w:val="21"/>
                <w:szCs w:val="21"/>
              </w:rPr>
              <w:t>工艺要求：所有铁件必须做到焊接平整、无虚焊、无明显焊疤、焊接处需打磨光滑。所有铁件必须做到除油除锈处理，静电喷塑（灰白色）、高温烘烤。</w:t>
            </w:r>
          </w:p>
          <w:p>
            <w:pPr>
              <w:pStyle w:val="36"/>
              <w:ind w:firstLine="0" w:firstLineChars="0"/>
              <w:rPr>
                <w:sz w:val="21"/>
                <w:szCs w:val="21"/>
              </w:rPr>
            </w:pPr>
            <w:r>
              <w:rPr>
                <w:rFonts w:hint="eastAsia"/>
                <w:sz w:val="21"/>
                <w:szCs w:val="21"/>
              </w:rPr>
              <w:t>二、床楼梯：</w:t>
            </w:r>
            <w:r>
              <w:rPr>
                <w:rFonts w:hint="eastAsia"/>
                <w:bCs/>
                <w:sz w:val="21"/>
                <w:szCs w:val="21"/>
              </w:rPr>
              <w:t>中梯宽500mm*900mm*高1</w:t>
            </w:r>
            <w:r>
              <w:rPr>
                <w:bCs/>
                <w:sz w:val="21"/>
                <w:szCs w:val="21"/>
              </w:rPr>
              <w:t>50</w:t>
            </w:r>
            <w:r>
              <w:rPr>
                <w:rFonts w:hint="eastAsia"/>
                <w:bCs/>
                <w:sz w:val="21"/>
                <w:szCs w:val="21"/>
              </w:rPr>
              <w:t>0mm；分四层，</w:t>
            </w:r>
            <w:r>
              <w:rPr>
                <w:rFonts w:hint="eastAsia"/>
                <w:sz w:val="21"/>
                <w:szCs w:val="21"/>
              </w:rPr>
              <w:t>支架全部</w:t>
            </w:r>
            <w:r>
              <w:rPr>
                <w:rFonts w:hint="eastAsia"/>
                <w:color w:val="000000"/>
                <w:sz w:val="21"/>
                <w:szCs w:val="21"/>
              </w:rPr>
              <w:t>采用≥18mm厚优质饰面环保生态板制作而成</w:t>
            </w:r>
            <w:r>
              <w:rPr>
                <w:rFonts w:hint="eastAsia"/>
                <w:sz w:val="21"/>
                <w:szCs w:val="21"/>
              </w:rPr>
              <w:t>，脚踏板采用</w:t>
            </w:r>
            <w:r>
              <w:rPr>
                <w:rFonts w:hint="eastAsia"/>
                <w:color w:val="000000"/>
                <w:sz w:val="21"/>
                <w:szCs w:val="21"/>
              </w:rPr>
              <w:t>≥</w:t>
            </w:r>
            <w:r>
              <w:rPr>
                <w:rFonts w:hint="eastAsia"/>
                <w:sz w:val="21"/>
                <w:szCs w:val="21"/>
              </w:rPr>
              <w:t>25mm的环保多层板。柜门采用内扣式拉手。</w:t>
            </w:r>
          </w:p>
        </w:tc>
      </w:tr>
    </w:tbl>
    <w:p>
      <w:pPr>
        <w:spacing w:line="360" w:lineRule="exact"/>
        <w:rPr>
          <w:rFonts w:hint="eastAsia" w:ascii="宋体" w:hAnsi="宋体" w:cs="宋体"/>
          <w:b/>
          <w:bCs/>
          <w:szCs w:val="21"/>
        </w:rPr>
      </w:pPr>
      <w:r>
        <w:rPr>
          <w:rFonts w:hint="eastAsia" w:ascii="宋体" w:hAnsi="宋体" w:cs="宋体"/>
          <w:b/>
          <w:bCs/>
          <w:szCs w:val="21"/>
        </w:rPr>
        <w:t>二、商务要求：</w:t>
      </w:r>
    </w:p>
    <w:p>
      <w:pPr>
        <w:spacing w:line="500" w:lineRule="exact"/>
        <w:ind w:firstLine="420" w:firstLineChars="200"/>
        <w:rPr>
          <w:rFonts w:ascii="宋体" w:hAnsi="宋体" w:cs="Arial"/>
          <w:szCs w:val="21"/>
        </w:rPr>
      </w:pPr>
      <w:r>
        <w:rPr>
          <w:rFonts w:hint="eastAsia" w:ascii="宋体" w:hAnsi="宋体" w:cs="Arial"/>
          <w:szCs w:val="21"/>
        </w:rPr>
        <w:t>1、本项目总价及综合单价为全费用价格，需包含</w:t>
      </w:r>
      <w:r>
        <w:rPr>
          <w:rFonts w:ascii="宋体" w:hAnsi="宋体" w:cs="Arial"/>
          <w:szCs w:val="21"/>
        </w:rPr>
        <w:t>产品，</w:t>
      </w:r>
      <w:r>
        <w:rPr>
          <w:rFonts w:hint="eastAsia" w:ascii="宋体" w:hAnsi="宋体" w:cs="Arial"/>
          <w:szCs w:val="21"/>
        </w:rPr>
        <w:t>运输费，</w:t>
      </w:r>
      <w:r>
        <w:rPr>
          <w:rFonts w:ascii="宋体" w:hAnsi="宋体" w:cs="Arial"/>
          <w:szCs w:val="21"/>
        </w:rPr>
        <w:t>装</w:t>
      </w:r>
      <w:r>
        <w:rPr>
          <w:rFonts w:hint="eastAsia" w:ascii="宋体" w:hAnsi="宋体" w:cs="Arial"/>
          <w:szCs w:val="21"/>
        </w:rPr>
        <w:t>卸货费，保险费，税费</w:t>
      </w:r>
      <w:r>
        <w:rPr>
          <w:rFonts w:ascii="宋体" w:hAnsi="宋体" w:cs="Arial"/>
          <w:szCs w:val="21"/>
        </w:rPr>
        <w:t>，</w:t>
      </w:r>
      <w:r>
        <w:rPr>
          <w:rFonts w:hint="eastAsia" w:ascii="宋体" w:hAnsi="宋体" w:cs="Arial"/>
          <w:szCs w:val="21"/>
        </w:rPr>
        <w:t>质保及售后、指导安装等伴随服务费等。运费、卸车费等不单独报价，包含在设备报价中，发票金额要与已包含运费、卸车费等在内的货物金额一致。</w:t>
      </w:r>
    </w:p>
    <w:p>
      <w:pPr>
        <w:spacing w:line="500" w:lineRule="exact"/>
        <w:ind w:firstLine="420" w:firstLineChars="200"/>
        <w:rPr>
          <w:rFonts w:hint="eastAsia" w:ascii="宋体" w:hAnsi="宋体" w:cs="宋体"/>
          <w:kern w:val="0"/>
          <w:szCs w:val="21"/>
        </w:rPr>
      </w:pPr>
      <w:r>
        <w:rPr>
          <w:rFonts w:hint="eastAsia" w:ascii="宋体" w:hAnsi="宋体" w:cs="Arial"/>
          <w:szCs w:val="21"/>
        </w:rPr>
        <w:t>2、交货期为供</w:t>
      </w:r>
      <w:r>
        <w:rPr>
          <w:rFonts w:hint="eastAsia" w:ascii="宋体" w:hAnsi="宋体" w:cs="宋体"/>
          <w:kern w:val="0"/>
          <w:szCs w:val="21"/>
        </w:rPr>
        <w:t>合同签订后，</w:t>
      </w:r>
      <w:r>
        <w:rPr>
          <w:rFonts w:hint="eastAsia" w:ascii="宋体" w:hAnsi="宋体" w:cs="宋体"/>
          <w:kern w:val="0"/>
          <w:szCs w:val="21"/>
          <w:lang w:val="en-US" w:eastAsia="zh-CN"/>
        </w:rPr>
        <w:t>20</w:t>
      </w:r>
      <w:r>
        <w:rPr>
          <w:rFonts w:hint="eastAsia" w:ascii="宋体" w:hAnsi="宋体" w:cs="宋体"/>
          <w:kern w:val="0"/>
          <w:szCs w:val="21"/>
        </w:rPr>
        <w:t>历天内</w:t>
      </w:r>
      <w:r>
        <w:rPr>
          <w:rFonts w:ascii="宋体" w:hAnsi="宋体" w:cs="宋体"/>
          <w:kern w:val="0"/>
          <w:szCs w:val="21"/>
        </w:rPr>
        <w:t>完成</w:t>
      </w:r>
      <w:r>
        <w:rPr>
          <w:rFonts w:hint="eastAsia" w:ascii="宋体" w:hAnsi="宋体" w:cs="宋体"/>
          <w:kern w:val="0"/>
          <w:szCs w:val="21"/>
        </w:rPr>
        <w:t>当供货及安装验收。</w:t>
      </w:r>
    </w:p>
    <w:p>
      <w:pPr>
        <w:spacing w:line="500" w:lineRule="exact"/>
        <w:ind w:firstLine="420" w:firstLineChars="200"/>
        <w:rPr>
          <w:rFonts w:hint="eastAsia" w:ascii="宋体" w:hAnsi="宋体" w:cs="Arial"/>
          <w:szCs w:val="21"/>
        </w:rPr>
      </w:pPr>
      <w:r>
        <w:rPr>
          <w:rFonts w:hint="eastAsia" w:ascii="宋体" w:hAnsi="宋体" w:cs="Arial"/>
          <w:szCs w:val="21"/>
        </w:rPr>
        <w:t>3、售后服务要求：</w:t>
      </w:r>
    </w:p>
    <w:p>
      <w:pPr>
        <w:spacing w:line="500" w:lineRule="exact"/>
        <w:ind w:firstLine="420" w:firstLineChars="200"/>
        <w:rPr>
          <w:rFonts w:hint="eastAsia" w:ascii="宋体" w:hAnsi="宋体" w:cs="Arial"/>
          <w:szCs w:val="21"/>
        </w:rPr>
      </w:pPr>
      <w:r>
        <w:rPr>
          <w:rFonts w:hint="eastAsia" w:ascii="宋体" w:hAnsi="宋体" w:cs="Arial"/>
          <w:szCs w:val="21"/>
        </w:rPr>
        <w:t xml:space="preserve">（1）质保期：3年，从安装完毕正式启用起计算。 </w:t>
      </w:r>
    </w:p>
    <w:p>
      <w:pPr>
        <w:spacing w:line="500" w:lineRule="exact"/>
        <w:ind w:firstLine="420" w:firstLineChars="200"/>
        <w:rPr>
          <w:rFonts w:hint="eastAsia" w:ascii="宋体" w:hAnsi="宋体" w:cs="Arial"/>
          <w:szCs w:val="21"/>
        </w:rPr>
      </w:pPr>
      <w:r>
        <w:rPr>
          <w:rFonts w:hint="eastAsia" w:ascii="宋体" w:hAnsi="宋体" w:cs="Arial"/>
          <w:szCs w:val="21"/>
        </w:rPr>
        <w:t>（2）故障响应时间：在保修期内经常回访，有问题做到及时处理。出现质量问题或故障时，响应时间≤2 小时，24 小时内到达现场，到达现场后6个工时处理完毕，无法修复的，需提供同等参数要求的备用产品进行更换。</w:t>
      </w:r>
    </w:p>
    <w:p>
      <w:pPr>
        <w:spacing w:line="500" w:lineRule="exact"/>
        <w:ind w:firstLine="420" w:firstLineChars="200"/>
        <w:rPr>
          <w:rFonts w:hint="eastAsia" w:ascii="宋体" w:hAnsi="宋体" w:cs="Arial"/>
          <w:szCs w:val="21"/>
        </w:rPr>
      </w:pPr>
      <w:r>
        <w:rPr>
          <w:rFonts w:hint="eastAsia" w:ascii="宋体" w:hAnsi="宋体" w:cs="Arial"/>
          <w:szCs w:val="21"/>
        </w:rPr>
        <w:t>4、其它要求：</w:t>
      </w:r>
    </w:p>
    <w:p>
      <w:pPr>
        <w:spacing w:line="500" w:lineRule="exact"/>
        <w:ind w:firstLine="420" w:firstLineChars="200"/>
        <w:rPr>
          <w:rFonts w:hint="eastAsia" w:ascii="宋体" w:hAnsi="宋体" w:cs="Arial"/>
          <w:szCs w:val="21"/>
        </w:rPr>
      </w:pPr>
      <w:r>
        <w:rPr>
          <w:rFonts w:hint="eastAsia" w:ascii="宋体" w:hAnsi="宋体" w:cs="Arial"/>
          <w:szCs w:val="21"/>
        </w:rPr>
        <w:t>投标人应根据本采购文件的规定和要求、市场价格水平及其走势、投标人的管理水平、投标人的方案和由这些因素决定的投标人之于本项目的成本水平等提出自己的报价。报价应包含完成本招标文件采购需求全部内容的所有费用，所有根据本招标文件或其它原因应由投标人支付的税款和其他应交纳的费用都应包括在报价中。 但投标人不得以低于其成本的价格进行报价， 投标人不得恶意竞价，相应报价明显低于其他报价的，评标委员会有权要求投标人提供相应证明，如不能提供，作无效标处理。</w:t>
      </w:r>
    </w:p>
    <w:p>
      <w:pPr>
        <w:spacing w:line="500" w:lineRule="exact"/>
        <w:ind w:firstLine="420" w:firstLineChars="200"/>
        <w:rPr>
          <w:rFonts w:hint="eastAsia" w:ascii="宋体" w:hAnsi="宋体" w:cs="Arial"/>
          <w:szCs w:val="21"/>
        </w:rPr>
      </w:pPr>
      <w:r>
        <w:rPr>
          <w:rFonts w:hint="eastAsia" w:ascii="宋体" w:hAnsi="宋体" w:cs="Arial"/>
          <w:szCs w:val="21"/>
        </w:rPr>
        <w:t>所需货物由投标人包装、运输完毕，检验合格后办理移交手续。</w:t>
      </w:r>
    </w:p>
    <w:p>
      <w:pPr>
        <w:spacing w:line="500" w:lineRule="exact"/>
        <w:ind w:firstLine="420" w:firstLineChars="200"/>
        <w:rPr>
          <w:rFonts w:hint="eastAsia" w:ascii="宋体" w:hAnsi="宋体" w:cs="Arial"/>
          <w:szCs w:val="21"/>
        </w:rPr>
      </w:pPr>
      <w:r>
        <w:rPr>
          <w:rFonts w:hint="eastAsia" w:ascii="宋体" w:hAnsi="宋体" w:cs="Arial"/>
          <w:szCs w:val="21"/>
        </w:rPr>
        <w:t>投标文件中应说明交货期及保证措施。</w:t>
      </w:r>
    </w:p>
    <w:p>
      <w:pPr>
        <w:spacing w:line="500" w:lineRule="exact"/>
        <w:ind w:firstLine="420" w:firstLineChars="200"/>
        <w:rPr>
          <w:rFonts w:hint="eastAsia"/>
        </w:rPr>
      </w:pPr>
      <w:r>
        <w:rPr>
          <w:rFonts w:hint="eastAsia" w:ascii="宋体" w:hAnsi="宋体" w:cs="Arial"/>
          <w:szCs w:val="21"/>
        </w:rPr>
        <w:t>货物交付后应能充分满足使用需求。</w:t>
      </w:r>
    </w:p>
    <w:p>
      <w:pPr>
        <w:spacing w:line="360" w:lineRule="exact"/>
        <w:rPr>
          <w:rFonts w:hint="eastAsia" w:ascii="宋体" w:hAnsi="宋体" w:cs="宋体"/>
          <w:b/>
          <w:bCs/>
          <w:szCs w:val="21"/>
        </w:rPr>
      </w:pPr>
      <w:r>
        <w:rPr>
          <w:rFonts w:hint="eastAsia" w:ascii="宋体" w:hAnsi="宋体" w:cs="宋体"/>
          <w:b/>
          <w:bCs/>
          <w:szCs w:val="21"/>
        </w:rPr>
        <w:t>三、验收标准：</w:t>
      </w:r>
    </w:p>
    <w:p>
      <w:pPr>
        <w:spacing w:line="500" w:lineRule="exact"/>
        <w:ind w:firstLine="420" w:firstLineChars="200"/>
        <w:rPr>
          <w:rFonts w:hint="eastAsia" w:ascii="宋体" w:hAnsi="宋体" w:cs="Arial"/>
          <w:szCs w:val="21"/>
        </w:rPr>
      </w:pPr>
      <w:r>
        <w:rPr>
          <w:rFonts w:hint="eastAsia" w:ascii="宋体" w:hAnsi="宋体" w:cs="Arial"/>
          <w:szCs w:val="21"/>
        </w:rPr>
        <w:t>投标人根据甲方的要求将货物送达到指定地点并进行安装</w:t>
      </w:r>
      <w:r>
        <w:rPr>
          <w:rFonts w:hint="eastAsia" w:ascii="宋体" w:hAnsi="宋体" w:cs="Arial"/>
          <w:szCs w:val="21"/>
          <w:lang w:eastAsia="zh-CN"/>
        </w:rPr>
        <w:t>，</w:t>
      </w:r>
      <w:r>
        <w:rPr>
          <w:rFonts w:hint="eastAsia" w:ascii="宋体" w:hAnsi="宋体" w:cs="Arial"/>
          <w:szCs w:val="21"/>
        </w:rPr>
        <w:t>在供货前需提供以下检测报告：</w:t>
      </w:r>
    </w:p>
    <w:p>
      <w:pPr>
        <w:spacing w:line="500" w:lineRule="exact"/>
        <w:ind w:firstLine="420" w:firstLineChars="200"/>
        <w:rPr>
          <w:rFonts w:hint="eastAsia" w:ascii="宋体" w:hAnsi="宋体" w:cs="Arial"/>
          <w:szCs w:val="21"/>
          <w:lang w:eastAsia="zh-CN"/>
        </w:rPr>
      </w:pPr>
      <w:r>
        <w:rPr>
          <w:rFonts w:hint="eastAsia" w:ascii="宋体" w:hAnsi="宋体" w:cs="Arial"/>
          <w:szCs w:val="21"/>
          <w:lang w:eastAsia="zh-CN"/>
        </w:rPr>
        <w:t>（</w:t>
      </w:r>
      <w:r>
        <w:rPr>
          <w:rFonts w:hint="eastAsia" w:ascii="宋体" w:hAnsi="宋体" w:cs="Arial"/>
          <w:szCs w:val="21"/>
          <w:lang w:val="en-US" w:eastAsia="zh-CN"/>
        </w:rPr>
        <w:t>1</w:t>
      </w:r>
      <w:r>
        <w:rPr>
          <w:rFonts w:hint="eastAsia" w:ascii="宋体" w:hAnsi="宋体" w:cs="Arial"/>
          <w:szCs w:val="21"/>
          <w:lang w:eastAsia="zh-CN"/>
        </w:rPr>
        <w:t>）</w:t>
      </w:r>
      <w:r>
        <w:rPr>
          <w:rFonts w:hint="eastAsia" w:ascii="宋体" w:hAnsi="宋体" w:cs="Arial"/>
          <w:szCs w:val="21"/>
        </w:rPr>
        <w:t>提供国家质量监督检验中心出具的“学生公寓组合床架”的抽检报告，检验依据：QB/T 3827-1999《轻工产品金属镀层和化学处理层的耐腐蚀试验方法乙酸盐雾试验（ASS）法》 QB/T3832-1999《轻工产品金属镀层腐蚀试验结果的评价》  GB/T3325-2017《金属家具通用技术条件》，产品通过：①金属件外观性能要求：管材、焊接处、冲压件、皱纹或波纹、喷涂层；②金属表面耐腐蚀：乙酸盐雾连续喷雾≥500小时，涂层本身的耐腐蚀等级≥10级，涂层对基体的保护等级≥10级。</w:t>
      </w:r>
    </w:p>
    <w:p>
      <w:pPr>
        <w:spacing w:line="500" w:lineRule="exact"/>
        <w:ind w:firstLine="420" w:firstLineChars="200"/>
        <w:rPr>
          <w:rFonts w:hint="eastAsia" w:ascii="宋体" w:hAnsi="宋体" w:cs="Arial"/>
          <w:szCs w:val="21"/>
          <w:lang w:eastAsia="zh-CN"/>
        </w:rPr>
      </w:pPr>
      <w:r>
        <w:rPr>
          <w:rFonts w:hint="eastAsia" w:ascii="宋体" w:hAnsi="宋体" w:cs="Arial"/>
          <w:szCs w:val="21"/>
          <w:lang w:eastAsia="zh-CN"/>
        </w:rPr>
        <w:t>（</w:t>
      </w:r>
      <w:r>
        <w:rPr>
          <w:rFonts w:hint="eastAsia" w:ascii="宋体" w:hAnsi="宋体" w:cs="Arial"/>
          <w:szCs w:val="21"/>
          <w:lang w:val="en-US" w:eastAsia="zh-CN"/>
        </w:rPr>
        <w:t>2</w:t>
      </w:r>
      <w:r>
        <w:rPr>
          <w:rFonts w:hint="eastAsia" w:ascii="宋体" w:hAnsi="宋体" w:cs="Arial"/>
          <w:szCs w:val="21"/>
          <w:lang w:eastAsia="zh-CN"/>
        </w:rPr>
        <w:t>）</w:t>
      </w:r>
      <w:r>
        <w:rPr>
          <w:rFonts w:hint="eastAsia" w:ascii="宋体" w:hAnsi="宋体" w:cs="Arial"/>
          <w:szCs w:val="21"/>
        </w:rPr>
        <w:t>提供由国家质量监督检验中心出具的“多层板”的抽检报告，检验依据：GB 18580-2017《室内装饰装修材料 人造板及其制品中甲醛释放量》、GB/T9846-2015《普通胶合板》产品通过①甲醛释放量（气候箱法）E1级：≤0.023mg/m³；②含水率（阔叶树材含热带阔叶树材）≤8.9%</w:t>
      </w:r>
      <w:r>
        <w:rPr>
          <w:rFonts w:hint="eastAsia" w:ascii="宋体" w:hAnsi="宋体" w:cs="Arial"/>
          <w:szCs w:val="21"/>
          <w:lang w:eastAsia="zh-CN"/>
        </w:rPr>
        <w:t>。</w:t>
      </w:r>
    </w:p>
    <w:p>
      <w:pPr>
        <w:spacing w:line="500" w:lineRule="exact"/>
        <w:ind w:firstLine="420" w:firstLineChars="200"/>
        <w:rPr>
          <w:rFonts w:hint="eastAsia" w:ascii="宋体" w:hAnsi="宋体" w:cs="Arial"/>
          <w:szCs w:val="21"/>
          <w:lang w:eastAsia="zh-CN"/>
        </w:rPr>
      </w:pPr>
      <w:r>
        <w:rPr>
          <w:rFonts w:hint="eastAsia" w:ascii="宋体" w:hAnsi="宋体" w:cs="Arial"/>
          <w:szCs w:val="21"/>
          <w:lang w:eastAsia="zh-CN"/>
        </w:rPr>
        <w:t>（</w:t>
      </w:r>
      <w:r>
        <w:rPr>
          <w:rFonts w:hint="eastAsia" w:ascii="宋体" w:hAnsi="宋体" w:cs="Arial"/>
          <w:szCs w:val="21"/>
          <w:lang w:val="en-US" w:eastAsia="zh-CN"/>
        </w:rPr>
        <w:t>3</w:t>
      </w:r>
      <w:r>
        <w:rPr>
          <w:rFonts w:hint="eastAsia" w:ascii="宋体" w:hAnsi="宋体" w:cs="Arial"/>
          <w:szCs w:val="21"/>
          <w:lang w:eastAsia="zh-CN"/>
        </w:rPr>
        <w:t>）</w:t>
      </w:r>
      <w:r>
        <w:rPr>
          <w:rFonts w:hint="eastAsia" w:ascii="宋体" w:hAnsi="宋体" w:cs="Arial"/>
          <w:szCs w:val="21"/>
        </w:rPr>
        <w:t>提供由国家质量监督检验中心出具的“床板”的抽检报告，检验依据：GB/T1931-2009《木材含水率测定方法》GB18584-2001《室内装饰装修材料 木家具中有害物质限量》产品通过其中①含水率≤9.3%、②甲醛释放量≤0.1mg/L等</w:t>
      </w:r>
      <w:r>
        <w:rPr>
          <w:rFonts w:hint="eastAsia" w:ascii="宋体" w:hAnsi="宋体" w:cs="Arial"/>
          <w:szCs w:val="21"/>
          <w:lang w:eastAsia="zh-CN"/>
        </w:rPr>
        <w:t>。</w:t>
      </w:r>
    </w:p>
    <w:p>
      <w:pPr>
        <w:spacing w:line="500" w:lineRule="exact"/>
        <w:ind w:firstLine="422" w:firstLineChars="200"/>
        <w:rPr>
          <w:rFonts w:hint="eastAsia" w:ascii="宋体" w:hAnsi="宋体" w:eastAsia="宋体" w:cs="宋体"/>
          <w:bCs/>
          <w:sz w:val="21"/>
          <w:szCs w:val="21"/>
          <w:lang w:eastAsia="zh-CN"/>
        </w:rPr>
      </w:pPr>
      <w:r>
        <w:rPr>
          <w:rFonts w:hint="eastAsia" w:ascii="宋体" w:hAnsi="宋体" w:eastAsia="宋体" w:cs="宋体"/>
          <w:b/>
          <w:bCs w:val="0"/>
          <w:sz w:val="21"/>
          <w:szCs w:val="21"/>
          <w:lang w:eastAsia="zh-CN"/>
        </w:rPr>
        <w:t>四、评标样品</w:t>
      </w:r>
    </w:p>
    <w:p>
      <w:pPr>
        <w:pStyle w:val="8"/>
        <w:spacing w:after="0" w:line="360" w:lineRule="auto"/>
        <w:ind w:firstLine="420" w:firstLineChars="200"/>
        <w:rPr>
          <w:rFonts w:hint="eastAsia" w:ascii="宋体" w:hAnsi="宋体" w:cs="Arial"/>
          <w:szCs w:val="21"/>
          <w:lang w:val="zh-CN"/>
        </w:rPr>
      </w:pPr>
      <w:r>
        <w:rPr>
          <w:rFonts w:hint="eastAsia" w:ascii="宋体" w:hAnsi="宋体" w:cs="Arial"/>
          <w:szCs w:val="21"/>
        </w:rPr>
        <w:t>投标人需提供以下</w:t>
      </w:r>
      <w:r>
        <w:rPr>
          <w:rFonts w:hint="eastAsia" w:ascii="宋体" w:hAnsi="宋体" w:eastAsia="宋体" w:cs="宋体"/>
          <w:szCs w:val="21"/>
          <w:lang w:eastAsia="zh-CN"/>
        </w:rPr>
        <w:t>小样样品</w:t>
      </w:r>
      <w:r>
        <w:rPr>
          <w:rFonts w:hint="eastAsia" w:ascii="宋体" w:hAnsi="宋体" w:eastAsia="宋体" w:cs="宋体"/>
          <w:szCs w:val="21"/>
        </w:rPr>
        <w:t>：</w:t>
      </w:r>
      <w:r>
        <w:rPr>
          <w:rFonts w:hint="eastAsia" w:ascii="宋体" w:hAnsi="宋体" w:eastAsia="宋体" w:cs="宋体"/>
          <w:szCs w:val="21"/>
          <w:lang w:val="zh-CN"/>
        </w:rPr>
        <w:t>【床立柱未喷漆长度≥</w:t>
      </w:r>
      <w:r>
        <w:rPr>
          <w:rFonts w:hint="eastAsia" w:ascii="宋体" w:hAnsi="宋体" w:eastAsia="宋体" w:cs="宋体"/>
          <w:szCs w:val="21"/>
          <w:lang w:val="en-US" w:eastAsia="zh-CN"/>
        </w:rPr>
        <w:t>200</w:t>
      </w:r>
      <w:r>
        <w:rPr>
          <w:rFonts w:hint="eastAsia" w:ascii="宋体" w:hAnsi="宋体" w:eastAsia="宋体" w:cs="宋体"/>
          <w:szCs w:val="21"/>
          <w:lang w:val="zh-CN"/>
        </w:rPr>
        <w:t>mm一根；床板≥</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zh-CN"/>
        </w:rPr>
        <w:t>mm</w:t>
      </w:r>
      <w:r>
        <w:rPr>
          <w:rFonts w:hint="eastAsia" w:ascii="宋体" w:hAnsi="宋体" w:eastAsia="宋体" w:cs="宋体"/>
          <w:szCs w:val="21"/>
        </w:rPr>
        <w:t>一块；25mm实木多层板</w:t>
      </w:r>
      <w:r>
        <w:rPr>
          <w:rFonts w:hint="eastAsia" w:ascii="宋体" w:hAnsi="宋体" w:eastAsia="宋体" w:cs="宋体"/>
          <w:szCs w:val="21"/>
          <w:lang w:val="zh-CN"/>
        </w:rPr>
        <w:t>≥</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zh-CN"/>
        </w:rPr>
        <w:t>mm</w:t>
      </w:r>
      <w:r>
        <w:rPr>
          <w:rFonts w:hint="eastAsia" w:ascii="宋体" w:hAnsi="宋体" w:eastAsia="宋体" w:cs="宋体"/>
          <w:szCs w:val="21"/>
        </w:rPr>
        <w:t>一块；18mm实木生态板</w:t>
      </w:r>
      <w:r>
        <w:rPr>
          <w:rFonts w:hint="eastAsia" w:ascii="宋体" w:hAnsi="宋体" w:eastAsia="宋体" w:cs="宋体"/>
          <w:szCs w:val="21"/>
          <w:lang w:val="zh-CN"/>
        </w:rPr>
        <w:t>≥</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en-US" w:eastAsia="zh-CN"/>
        </w:rPr>
        <w:t>2</w:t>
      </w:r>
      <w:r>
        <w:rPr>
          <w:rFonts w:hint="eastAsia" w:ascii="宋体" w:hAnsi="宋体" w:eastAsia="宋体" w:cs="宋体"/>
          <w:szCs w:val="21"/>
        </w:rPr>
        <w:t>00</w:t>
      </w:r>
      <w:r>
        <w:rPr>
          <w:rFonts w:hint="eastAsia" w:ascii="宋体" w:hAnsi="宋体" w:eastAsia="宋体" w:cs="宋体"/>
          <w:szCs w:val="21"/>
          <w:lang w:val="zh-CN"/>
        </w:rPr>
        <w:t>mm</w:t>
      </w:r>
      <w:r>
        <w:rPr>
          <w:rFonts w:hint="eastAsia" w:ascii="宋体" w:hAnsi="宋体" w:eastAsia="宋体" w:cs="宋体"/>
          <w:szCs w:val="21"/>
        </w:rPr>
        <w:t>一块；</w:t>
      </w:r>
      <w:r>
        <w:rPr>
          <w:rFonts w:hint="eastAsia" w:ascii="宋体" w:hAnsi="宋体" w:eastAsia="宋体" w:cs="宋体"/>
          <w:szCs w:val="21"/>
          <w:lang w:val="zh-CN"/>
        </w:rPr>
        <w:t>拉手各一个；开标当天九点前密封标注单位名称联系人及电话，提前送至城发集团三号楼三楼开标区。</w:t>
      </w:r>
    </w:p>
    <w:p>
      <w:pPr>
        <w:spacing w:line="500" w:lineRule="exact"/>
        <w:ind w:firstLine="420" w:firstLineChars="200"/>
        <w:rPr>
          <w:rFonts w:hint="eastAsia" w:ascii="宋体" w:hAnsi="宋体" w:cs="Arial"/>
          <w:szCs w:val="21"/>
          <w:lang w:eastAsia="zh-CN"/>
        </w:rPr>
        <w:sectPr>
          <w:footerReference r:id="rId3" w:type="default"/>
          <w:pgSz w:w="16838" w:h="11906" w:orient="landscape"/>
          <w:pgMar w:top="1418" w:right="1418" w:bottom="1418" w:left="1418" w:header="851" w:footer="992" w:gutter="0"/>
          <w:cols w:space="425" w:num="1"/>
          <w:docGrid w:type="lines" w:linePitch="312" w:charSpace="0"/>
        </w:sectPr>
      </w:pPr>
    </w:p>
    <w:p>
      <w:pPr>
        <w:spacing w:line="360" w:lineRule="auto"/>
        <w:jc w:val="left"/>
        <w:rPr>
          <w:rFonts w:asciiTheme="minorEastAsia" w:hAnsiTheme="minorEastAsia"/>
          <w:b/>
          <w:szCs w:val="21"/>
        </w:rPr>
      </w:pPr>
      <w:r>
        <w:rPr>
          <w:rFonts w:hint="eastAsia" w:asciiTheme="minorEastAsia" w:hAnsiTheme="minorEastAsia"/>
          <w:b/>
          <w:szCs w:val="21"/>
        </w:rPr>
        <w:t>遴选方法及评分标准：</w:t>
      </w:r>
    </w:p>
    <w:p>
      <w:pPr>
        <w:spacing w:line="360" w:lineRule="auto"/>
        <w:ind w:firstLine="420" w:firstLineChars="200"/>
        <w:jc w:val="left"/>
        <w:rPr>
          <w:rFonts w:hint="eastAsia" w:asciiTheme="minorEastAsia" w:hAnsiTheme="minorEastAsia"/>
          <w:szCs w:val="21"/>
        </w:rPr>
      </w:pPr>
      <w:r>
        <w:rPr>
          <w:rFonts w:hint="eastAsia" w:asciiTheme="minorEastAsia" w:hAnsiTheme="minorEastAsia"/>
          <w:szCs w:val="21"/>
        </w:rPr>
        <w:t>一、本次公开遴选采用综合评分法</w:t>
      </w:r>
    </w:p>
    <w:tbl>
      <w:tblPr>
        <w:tblStyle w:val="1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900"/>
        <w:gridCol w:w="750"/>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73" w:type="dxa"/>
            <w:gridSpan w:val="2"/>
            <w:vAlign w:val="center"/>
          </w:tcPr>
          <w:p>
            <w:pPr>
              <w:spacing w:line="360" w:lineRule="exact"/>
              <w:jc w:val="left"/>
              <w:rPr>
                <w:rFonts w:hint="eastAsia" w:ascii="宋体" w:hAnsi="宋体" w:cs="宋体"/>
                <w:b/>
                <w:bCs/>
                <w:szCs w:val="21"/>
              </w:rPr>
            </w:pPr>
            <w:r>
              <w:rPr>
                <w:rFonts w:hint="eastAsia" w:ascii="宋体" w:hAnsi="宋体" w:cs="宋体"/>
                <w:b/>
                <w:bCs/>
                <w:kern w:val="0"/>
                <w:szCs w:val="21"/>
              </w:rPr>
              <w:t>评分项目</w:t>
            </w:r>
          </w:p>
        </w:tc>
        <w:tc>
          <w:tcPr>
            <w:tcW w:w="750" w:type="dxa"/>
            <w:vAlign w:val="center"/>
          </w:tcPr>
          <w:p>
            <w:pPr>
              <w:spacing w:line="360" w:lineRule="exact"/>
              <w:jc w:val="left"/>
              <w:rPr>
                <w:rFonts w:hint="eastAsia" w:ascii="宋体" w:hAnsi="宋体" w:cs="宋体"/>
                <w:b/>
                <w:bCs/>
                <w:szCs w:val="21"/>
              </w:rPr>
            </w:pPr>
            <w:r>
              <w:rPr>
                <w:rFonts w:hint="eastAsia" w:ascii="宋体" w:hAnsi="宋体" w:cs="宋体"/>
                <w:b/>
                <w:bCs/>
                <w:kern w:val="0"/>
                <w:szCs w:val="21"/>
              </w:rPr>
              <w:t>分数</w:t>
            </w:r>
          </w:p>
        </w:tc>
        <w:tc>
          <w:tcPr>
            <w:tcW w:w="6996" w:type="dxa"/>
            <w:vAlign w:val="center"/>
          </w:tcPr>
          <w:p>
            <w:pPr>
              <w:spacing w:line="360" w:lineRule="exact"/>
              <w:jc w:val="left"/>
              <w:rPr>
                <w:rFonts w:hint="eastAsia" w:ascii="宋体" w:hAnsi="宋体" w:cs="宋体"/>
                <w:b/>
                <w:bCs/>
                <w:szCs w:val="21"/>
              </w:rPr>
            </w:pPr>
            <w:r>
              <w:rPr>
                <w:rFonts w:hint="eastAsia" w:ascii="宋体" w:hAnsi="宋体" w:cs="宋体"/>
                <w:b/>
                <w:bCs/>
                <w:kern w:val="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773" w:type="dxa"/>
            <w:vAlign w:val="center"/>
          </w:tcPr>
          <w:p>
            <w:pPr>
              <w:spacing w:line="360" w:lineRule="exact"/>
              <w:jc w:val="left"/>
              <w:textAlignment w:val="center"/>
              <w:rPr>
                <w:rFonts w:hint="eastAsia" w:ascii="宋体" w:hAnsi="宋体" w:cs="宋体"/>
                <w:szCs w:val="21"/>
              </w:rPr>
            </w:pPr>
            <w:r>
              <w:rPr>
                <w:rFonts w:hint="eastAsia" w:ascii="宋体" w:hAnsi="宋体" w:cs="宋体"/>
                <w:kern w:val="0"/>
                <w:szCs w:val="21"/>
              </w:rPr>
              <w:t>价格部分30分</w:t>
            </w:r>
          </w:p>
        </w:tc>
        <w:tc>
          <w:tcPr>
            <w:tcW w:w="900" w:type="dxa"/>
            <w:vAlign w:val="center"/>
          </w:tcPr>
          <w:p>
            <w:pPr>
              <w:spacing w:line="360" w:lineRule="exact"/>
              <w:jc w:val="left"/>
              <w:textAlignment w:val="center"/>
              <w:rPr>
                <w:rFonts w:hint="eastAsia" w:ascii="宋体" w:hAnsi="宋体" w:cs="宋体"/>
                <w:szCs w:val="21"/>
              </w:rPr>
            </w:pPr>
            <w:r>
              <w:rPr>
                <w:rFonts w:hint="eastAsia" w:ascii="宋体" w:hAnsi="宋体" w:cs="宋体"/>
                <w:kern w:val="0"/>
                <w:szCs w:val="21"/>
              </w:rPr>
              <w:t>价格分</w:t>
            </w:r>
          </w:p>
        </w:tc>
        <w:tc>
          <w:tcPr>
            <w:tcW w:w="750" w:type="dxa"/>
            <w:vAlign w:val="center"/>
          </w:tcPr>
          <w:p>
            <w:pPr>
              <w:spacing w:line="360" w:lineRule="exact"/>
              <w:jc w:val="left"/>
              <w:textAlignment w:val="center"/>
              <w:rPr>
                <w:rFonts w:hint="eastAsia" w:ascii="宋体" w:hAnsi="宋体" w:cs="宋体"/>
                <w:szCs w:val="21"/>
              </w:rPr>
            </w:pPr>
            <w:r>
              <w:rPr>
                <w:rFonts w:hint="eastAsia" w:ascii="宋体" w:hAnsi="宋体" w:cs="宋体"/>
                <w:kern w:val="0"/>
                <w:szCs w:val="21"/>
              </w:rPr>
              <w:t>30分</w:t>
            </w:r>
          </w:p>
        </w:tc>
        <w:tc>
          <w:tcPr>
            <w:tcW w:w="6996" w:type="dxa"/>
            <w:vAlign w:val="center"/>
          </w:tcPr>
          <w:p>
            <w:pPr>
              <w:pStyle w:val="2"/>
              <w:spacing w:line="360" w:lineRule="exact"/>
              <w:ind w:left="0" w:leftChars="0" w:firstLine="0" w:firstLineChars="0"/>
              <w:jc w:val="left"/>
              <w:rPr>
                <w:rFonts w:hint="eastAsia" w:ascii="宋体" w:hAnsi="宋体" w:eastAsia="宋体" w:cs="宋体"/>
                <w:spacing w:val="-13"/>
                <w:szCs w:val="21"/>
                <w:lang w:val="zh-CN" w:bidi="zh-CN"/>
              </w:rPr>
            </w:pPr>
            <w:r>
              <w:rPr>
                <w:rFonts w:hint="eastAsia" w:ascii="宋体" w:hAnsi="宋体" w:eastAsia="宋体" w:cs="宋体"/>
                <w:spacing w:val="-13"/>
                <w:szCs w:val="21"/>
                <w:lang w:val="zh-CN" w:bidi="zh-CN"/>
              </w:rPr>
              <w:t>所有有效投标的投标报价算数平均值作为评标基准价Q，评分分数“四舍五入”保留二位小数。</w:t>
            </w:r>
          </w:p>
          <w:p>
            <w:pPr>
              <w:pStyle w:val="2"/>
              <w:spacing w:line="360" w:lineRule="exact"/>
              <w:ind w:left="0" w:leftChars="0" w:firstLine="0" w:firstLineChars="0"/>
              <w:jc w:val="left"/>
              <w:rPr>
                <w:rFonts w:hint="eastAsia" w:ascii="宋体" w:hAnsi="宋体" w:eastAsia="宋体" w:cs="宋体"/>
                <w:spacing w:val="-13"/>
                <w:szCs w:val="21"/>
                <w:lang w:val="zh-CN" w:bidi="zh-CN"/>
              </w:rPr>
            </w:pPr>
            <w:r>
              <w:rPr>
                <w:rFonts w:hint="eastAsia" w:ascii="宋体" w:hAnsi="宋体" w:eastAsia="宋体" w:cs="宋体"/>
                <w:spacing w:val="-13"/>
                <w:szCs w:val="21"/>
                <w:lang w:val="zh-CN" w:bidi="zh-CN"/>
              </w:rPr>
              <w:t>投标报价T低于基准价Q的，每低1%扣0.5分，扣完为止；公式：得分=30-［（Q-T）/Q］×</w:t>
            </w:r>
            <w:r>
              <w:rPr>
                <w:rFonts w:hint="eastAsia" w:ascii="宋体" w:hAnsi="宋体" w:eastAsia="宋体" w:cs="宋体"/>
                <w:spacing w:val="-13"/>
                <w:szCs w:val="21"/>
                <w:lang w:val="en-US" w:eastAsia="zh-CN" w:bidi="zh-CN"/>
              </w:rPr>
              <w:t>30</w:t>
            </w:r>
            <w:r>
              <w:rPr>
                <w:rFonts w:hint="eastAsia" w:ascii="宋体" w:hAnsi="宋体" w:eastAsia="宋体" w:cs="宋体"/>
                <w:spacing w:val="-13"/>
                <w:szCs w:val="21"/>
                <w:lang w:val="zh-CN" w:bidi="zh-CN"/>
              </w:rPr>
              <w:t>×0.5。</w:t>
            </w:r>
          </w:p>
          <w:p>
            <w:pPr>
              <w:pStyle w:val="2"/>
              <w:spacing w:line="360" w:lineRule="exact"/>
              <w:ind w:left="0" w:leftChars="0" w:firstLine="0" w:firstLineChars="0"/>
              <w:jc w:val="left"/>
              <w:rPr>
                <w:rFonts w:hint="eastAsia" w:ascii="宋体" w:hAnsi="宋体" w:cs="宋体"/>
                <w:szCs w:val="21"/>
              </w:rPr>
            </w:pPr>
            <w:r>
              <w:rPr>
                <w:rFonts w:hint="eastAsia" w:ascii="宋体" w:hAnsi="宋体" w:eastAsia="宋体" w:cs="宋体"/>
                <w:spacing w:val="-13"/>
                <w:szCs w:val="21"/>
                <w:lang w:val="zh-CN" w:bidi="zh-CN"/>
              </w:rPr>
              <w:t>投标报价T高于标基准价Q的，每高1%扣1分，扣完为止；公式：得分=30-［（T-Q）/Q］×</w:t>
            </w:r>
            <w:r>
              <w:rPr>
                <w:rFonts w:hint="eastAsia" w:ascii="宋体" w:hAnsi="宋体" w:eastAsia="宋体" w:cs="宋体"/>
                <w:spacing w:val="-13"/>
                <w:szCs w:val="21"/>
                <w:lang w:val="en-US" w:eastAsia="zh-CN" w:bidi="zh-CN"/>
              </w:rPr>
              <w:t>30</w:t>
            </w:r>
            <w:r>
              <w:rPr>
                <w:rFonts w:hint="eastAsia" w:ascii="宋体" w:hAnsi="宋体" w:eastAsia="宋体" w:cs="宋体"/>
                <w:spacing w:val="-13"/>
                <w:szCs w:val="21"/>
                <w:lang w:val="zh-CN" w:bidi="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jc w:val="center"/>
        </w:trPr>
        <w:tc>
          <w:tcPr>
            <w:tcW w:w="773" w:type="dxa"/>
            <w:vMerge w:val="restart"/>
            <w:vAlign w:val="center"/>
          </w:tcPr>
          <w:p>
            <w:pPr>
              <w:spacing w:line="360" w:lineRule="exact"/>
              <w:jc w:val="left"/>
              <w:textAlignment w:val="center"/>
              <w:rPr>
                <w:rFonts w:hint="eastAsia" w:ascii="宋体" w:hAnsi="宋体" w:cs="宋体"/>
                <w:kern w:val="0"/>
                <w:szCs w:val="21"/>
              </w:rPr>
            </w:pPr>
            <w:r>
              <w:rPr>
                <w:rFonts w:hint="eastAsia" w:ascii="宋体" w:hAnsi="宋体" w:cs="宋体"/>
                <w:kern w:val="0"/>
                <w:szCs w:val="21"/>
              </w:rPr>
              <w:t>技术部分</w:t>
            </w:r>
            <w:r>
              <w:rPr>
                <w:rFonts w:hint="eastAsia" w:ascii="宋体" w:hAnsi="宋体" w:cs="宋体"/>
                <w:kern w:val="0"/>
                <w:szCs w:val="21"/>
                <w:lang w:val="en-US" w:eastAsia="zh-CN"/>
              </w:rPr>
              <w:t>36</w:t>
            </w:r>
            <w:r>
              <w:rPr>
                <w:rFonts w:hint="eastAsia" w:ascii="宋体" w:hAnsi="宋体" w:cs="宋体"/>
                <w:kern w:val="0"/>
                <w:szCs w:val="21"/>
              </w:rPr>
              <w:t>分</w:t>
            </w:r>
          </w:p>
        </w:tc>
        <w:tc>
          <w:tcPr>
            <w:tcW w:w="900" w:type="dxa"/>
            <w:vAlign w:val="center"/>
          </w:tcPr>
          <w:p>
            <w:pPr>
              <w:spacing w:line="360" w:lineRule="exact"/>
              <w:jc w:val="left"/>
              <w:textAlignment w:val="center"/>
              <w:rPr>
                <w:rFonts w:hint="eastAsia" w:ascii="宋体" w:hAnsi="宋体" w:cs="宋体"/>
                <w:bCs/>
                <w:kern w:val="0"/>
                <w:szCs w:val="21"/>
              </w:rPr>
            </w:pPr>
            <w:r>
              <w:rPr>
                <w:rFonts w:hint="eastAsia" w:ascii="宋体" w:hAnsi="宋体" w:cs="宋体"/>
                <w:bCs/>
                <w:kern w:val="0"/>
                <w:szCs w:val="21"/>
              </w:rPr>
              <w:t>产品小样评分</w:t>
            </w:r>
          </w:p>
        </w:tc>
        <w:tc>
          <w:tcPr>
            <w:tcW w:w="750" w:type="dxa"/>
            <w:vAlign w:val="center"/>
          </w:tcPr>
          <w:p>
            <w:pPr>
              <w:spacing w:line="360" w:lineRule="exact"/>
              <w:jc w:val="left"/>
              <w:textAlignment w:val="center"/>
              <w:rPr>
                <w:rFonts w:hint="eastAsia" w:ascii="宋体" w:hAnsi="宋体" w:cs="宋体"/>
                <w:kern w:val="0"/>
                <w:szCs w:val="21"/>
              </w:rPr>
            </w:pPr>
            <w:r>
              <w:rPr>
                <w:rFonts w:hint="eastAsia" w:ascii="宋体" w:hAnsi="宋体" w:cs="宋体"/>
                <w:kern w:val="0"/>
                <w:szCs w:val="21"/>
                <w:lang w:val="en-US" w:eastAsia="zh-CN"/>
              </w:rPr>
              <w:t>9</w:t>
            </w:r>
            <w:r>
              <w:rPr>
                <w:rFonts w:hint="eastAsia" w:ascii="宋体" w:hAnsi="宋体" w:cs="宋体"/>
                <w:kern w:val="0"/>
                <w:szCs w:val="21"/>
              </w:rPr>
              <w:t>分</w:t>
            </w:r>
          </w:p>
        </w:tc>
        <w:tc>
          <w:tcPr>
            <w:tcW w:w="6996" w:type="dxa"/>
            <w:vAlign w:val="center"/>
          </w:tcPr>
          <w:p>
            <w:pPr>
              <w:pStyle w:val="2"/>
              <w:spacing w:line="360" w:lineRule="exact"/>
              <w:ind w:left="0" w:leftChars="0" w:firstLine="0" w:firstLineChars="0"/>
              <w:jc w:val="left"/>
              <w:rPr>
                <w:rFonts w:hint="eastAsia" w:ascii="宋体" w:hAnsi="宋体" w:cs="宋体"/>
                <w:spacing w:val="-13"/>
                <w:szCs w:val="21"/>
                <w:lang w:bidi="zh-CN"/>
              </w:rPr>
            </w:pPr>
            <w:r>
              <w:rPr>
                <w:rFonts w:hint="eastAsia" w:ascii="宋体" w:hAnsi="宋体" w:cs="宋体"/>
                <w:szCs w:val="21"/>
              </w:rPr>
              <w:t>小样样品（</w:t>
            </w:r>
            <w:r>
              <w:rPr>
                <w:rFonts w:hint="eastAsia" w:ascii="宋体" w:hAnsi="宋体" w:cs="宋体"/>
                <w:spacing w:val="-13"/>
                <w:szCs w:val="21"/>
                <w:lang w:val="zh-CN" w:bidi="zh-CN"/>
              </w:rPr>
              <w:t>床立柱、床板、</w:t>
            </w:r>
            <w:r>
              <w:rPr>
                <w:rFonts w:hint="eastAsia" w:ascii="宋体" w:hAnsi="宋体" w:cs="宋体"/>
                <w:spacing w:val="-13"/>
                <w:szCs w:val="21"/>
                <w:lang w:bidi="zh-CN"/>
              </w:rPr>
              <w:t xml:space="preserve">实木多层板、实木生态板、拉手）根据所提供样品金属件涂层是否无漏喷、锈蚀和脱色、掉色现象，涂层光滑均匀，色泽一致，无流挂、疙瘩、皱皮、飞漆等缺陷；根据所提供样品塑料件表面是否无裂纹、无明显变形、无明显缩孔、无气泡、无杂质、无伤痕；根据所提供样品木质件外表是否无明显划痕、压痕，无明显色差，无鼓泡、龟裂、分层；整体样品工艺处理是否平整、手感、质量是否满足招标文件要求等情况进行评分： </w:t>
            </w:r>
            <w:r>
              <w:rPr>
                <w:rFonts w:hint="eastAsia" w:ascii="宋体" w:hAnsi="宋体" w:cs="宋体"/>
                <w:szCs w:val="21"/>
              </w:rPr>
              <w:t>“</w:t>
            </w:r>
            <w:r>
              <w:rPr>
                <w:rFonts w:hint="eastAsia" w:ascii="宋体" w:hAnsi="宋体" w:cs="宋体"/>
                <w:spacing w:val="-13"/>
                <w:szCs w:val="21"/>
                <w:lang w:bidi="zh-CN"/>
              </w:rPr>
              <w:t>优秀</w:t>
            </w:r>
            <w:r>
              <w:rPr>
                <w:rFonts w:hint="eastAsia" w:ascii="宋体" w:hAnsi="宋体" w:cs="宋体"/>
                <w:szCs w:val="21"/>
              </w:rPr>
              <w:t>”</w:t>
            </w:r>
            <w:r>
              <w:rPr>
                <w:rFonts w:hint="eastAsia" w:ascii="宋体" w:hAnsi="宋体" w:cs="宋体"/>
                <w:spacing w:val="-13"/>
                <w:szCs w:val="21"/>
                <w:lang w:bidi="zh-CN"/>
              </w:rPr>
              <w:t>的得</w:t>
            </w:r>
            <w:r>
              <w:rPr>
                <w:rFonts w:hint="eastAsia" w:ascii="宋体" w:hAnsi="宋体" w:cs="宋体"/>
                <w:spacing w:val="-13"/>
                <w:szCs w:val="21"/>
                <w:lang w:val="en-US" w:bidi="zh-CN"/>
              </w:rPr>
              <w:t>6-9</w:t>
            </w:r>
            <w:r>
              <w:rPr>
                <w:rFonts w:hint="eastAsia" w:ascii="宋体" w:hAnsi="宋体" w:cs="宋体"/>
                <w:spacing w:val="-13"/>
                <w:szCs w:val="21"/>
                <w:lang w:bidi="zh-CN"/>
              </w:rPr>
              <w:t>分；</w:t>
            </w:r>
            <w:r>
              <w:rPr>
                <w:rFonts w:hint="eastAsia" w:ascii="宋体" w:hAnsi="宋体" w:cs="宋体"/>
                <w:szCs w:val="21"/>
              </w:rPr>
              <w:t>“</w:t>
            </w:r>
            <w:r>
              <w:rPr>
                <w:rFonts w:hint="eastAsia" w:ascii="宋体" w:hAnsi="宋体" w:cs="宋体"/>
                <w:spacing w:val="-13"/>
                <w:szCs w:val="21"/>
                <w:lang w:bidi="zh-CN"/>
              </w:rPr>
              <w:t>良好</w:t>
            </w:r>
            <w:r>
              <w:rPr>
                <w:rFonts w:hint="eastAsia" w:ascii="宋体" w:hAnsi="宋体" w:cs="宋体"/>
                <w:szCs w:val="21"/>
              </w:rPr>
              <w:t>”</w:t>
            </w:r>
            <w:r>
              <w:rPr>
                <w:rFonts w:hint="eastAsia" w:ascii="宋体" w:hAnsi="宋体" w:cs="宋体"/>
                <w:spacing w:val="-13"/>
                <w:szCs w:val="21"/>
                <w:lang w:bidi="zh-CN"/>
              </w:rPr>
              <w:t>的得</w:t>
            </w:r>
            <w:r>
              <w:rPr>
                <w:rFonts w:hint="eastAsia" w:ascii="宋体" w:hAnsi="宋体" w:cs="宋体"/>
                <w:spacing w:val="-13"/>
                <w:szCs w:val="21"/>
                <w:lang w:val="en-US" w:bidi="zh-CN"/>
              </w:rPr>
              <w:t>6</w:t>
            </w:r>
            <w:r>
              <w:rPr>
                <w:rFonts w:hint="eastAsia" w:ascii="宋体" w:hAnsi="宋体" w:cs="宋体"/>
                <w:spacing w:val="-13"/>
                <w:szCs w:val="21"/>
                <w:lang w:bidi="zh-CN"/>
              </w:rPr>
              <w:t>-</w:t>
            </w:r>
            <w:r>
              <w:rPr>
                <w:rFonts w:hint="eastAsia" w:ascii="宋体" w:hAnsi="宋体" w:cs="宋体"/>
                <w:spacing w:val="-13"/>
                <w:szCs w:val="21"/>
                <w:lang w:val="en-US" w:bidi="zh-CN"/>
              </w:rPr>
              <w:t>3</w:t>
            </w:r>
            <w:r>
              <w:rPr>
                <w:rFonts w:hint="eastAsia" w:ascii="宋体" w:hAnsi="宋体" w:cs="宋体"/>
                <w:spacing w:val="-13"/>
                <w:szCs w:val="21"/>
                <w:lang w:bidi="zh-CN"/>
              </w:rPr>
              <w:t>分；</w:t>
            </w:r>
            <w:r>
              <w:rPr>
                <w:rFonts w:hint="eastAsia" w:ascii="宋体" w:hAnsi="宋体" w:cs="宋体"/>
                <w:szCs w:val="21"/>
              </w:rPr>
              <w:t>“一般”</w:t>
            </w:r>
            <w:r>
              <w:rPr>
                <w:rFonts w:hint="eastAsia" w:ascii="宋体" w:hAnsi="宋体" w:cs="宋体"/>
                <w:spacing w:val="-13"/>
                <w:szCs w:val="21"/>
                <w:lang w:bidi="zh-CN"/>
              </w:rPr>
              <w:t>的得0-</w:t>
            </w:r>
            <w:r>
              <w:rPr>
                <w:rFonts w:hint="eastAsia" w:ascii="宋体" w:hAnsi="宋体" w:cs="宋体"/>
                <w:spacing w:val="-13"/>
                <w:szCs w:val="21"/>
                <w:lang w:val="en-US" w:bidi="zh-CN"/>
              </w:rPr>
              <w:t>3</w:t>
            </w:r>
            <w:r>
              <w:rPr>
                <w:rFonts w:hint="eastAsia" w:ascii="宋体" w:hAnsi="宋体" w:cs="宋体"/>
                <w:spacing w:val="-13"/>
                <w:szCs w:val="21"/>
                <w:lang w:bidi="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vMerge w:val="continue"/>
            <w:vAlign w:val="center"/>
          </w:tcPr>
          <w:p>
            <w:pPr>
              <w:spacing w:line="360" w:lineRule="exact"/>
              <w:jc w:val="left"/>
              <w:textAlignment w:val="center"/>
              <w:rPr>
                <w:rFonts w:hint="eastAsia" w:ascii="宋体" w:hAnsi="宋体" w:cs="宋体"/>
                <w:kern w:val="0"/>
                <w:szCs w:val="21"/>
              </w:rPr>
            </w:pPr>
          </w:p>
        </w:tc>
        <w:tc>
          <w:tcPr>
            <w:tcW w:w="900" w:type="dxa"/>
            <w:vAlign w:val="center"/>
          </w:tcPr>
          <w:p>
            <w:pPr>
              <w:spacing w:line="360" w:lineRule="exact"/>
              <w:jc w:val="left"/>
              <w:textAlignment w:val="center"/>
              <w:rPr>
                <w:rFonts w:hint="eastAsia" w:ascii="宋体" w:hAnsi="宋体" w:cs="宋体"/>
                <w:bCs/>
                <w:szCs w:val="21"/>
              </w:rPr>
            </w:pPr>
            <w:r>
              <w:rPr>
                <w:rFonts w:hint="eastAsia" w:ascii="宋体" w:hAnsi="宋体" w:cs="宋体"/>
                <w:bCs/>
                <w:szCs w:val="21"/>
              </w:rPr>
              <w:t>技术参数响应性</w:t>
            </w:r>
          </w:p>
        </w:tc>
        <w:tc>
          <w:tcPr>
            <w:tcW w:w="750" w:type="dxa"/>
            <w:vAlign w:val="center"/>
          </w:tcPr>
          <w:p>
            <w:pPr>
              <w:spacing w:line="360" w:lineRule="exact"/>
              <w:jc w:val="left"/>
              <w:textAlignment w:val="center"/>
              <w:rPr>
                <w:rFonts w:ascii="宋体" w:hAnsi="宋体" w:cs="宋体"/>
                <w:kern w:val="0"/>
                <w:szCs w:val="21"/>
              </w:rPr>
            </w:pPr>
            <w:r>
              <w:rPr>
                <w:rFonts w:hint="eastAsia" w:ascii="宋体" w:hAnsi="宋体" w:cs="宋体"/>
                <w:kern w:val="0"/>
                <w:szCs w:val="21"/>
                <w:lang w:val="en-US" w:eastAsia="zh-CN"/>
              </w:rPr>
              <w:t>12</w:t>
            </w:r>
            <w:r>
              <w:rPr>
                <w:rFonts w:hint="eastAsia" w:ascii="宋体" w:hAnsi="宋体" w:cs="宋体"/>
                <w:kern w:val="0"/>
                <w:szCs w:val="21"/>
              </w:rPr>
              <w:t>分</w:t>
            </w:r>
          </w:p>
        </w:tc>
        <w:tc>
          <w:tcPr>
            <w:tcW w:w="6996" w:type="dxa"/>
            <w:vAlign w:val="center"/>
          </w:tcPr>
          <w:p>
            <w:pPr>
              <w:pStyle w:val="2"/>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投标人对招标文</w:t>
            </w:r>
            <w:r>
              <w:rPr>
                <w:rFonts w:hint="eastAsia" w:ascii="宋体" w:hAnsi="宋体" w:cs="宋体"/>
                <w:color w:val="auto"/>
                <w:szCs w:val="21"/>
                <w:highlight w:val="none"/>
                <w:lang w:bidi="ar"/>
              </w:rPr>
              <w:t>件</w:t>
            </w:r>
            <w:r>
              <w:rPr>
                <w:rFonts w:hint="eastAsia" w:ascii="宋体" w:hAnsi="宋体" w:cs="宋体"/>
                <w:color w:val="auto"/>
                <w:szCs w:val="21"/>
                <w:highlight w:val="none"/>
                <w:lang w:eastAsia="zh-CN" w:bidi="ar"/>
              </w:rPr>
              <w:t>中</w:t>
            </w:r>
            <w:r>
              <w:rPr>
                <w:rFonts w:hint="eastAsia" w:ascii="宋体" w:hAnsi="宋体" w:cs="宋体"/>
                <w:color w:val="auto"/>
                <w:szCs w:val="21"/>
                <w:highlight w:val="none"/>
                <w:lang w:bidi="ar"/>
              </w:rPr>
              <w:t>技术参数响应程度</w:t>
            </w:r>
            <w:r>
              <w:rPr>
                <w:rFonts w:hint="eastAsia" w:ascii="宋体" w:hAnsi="宋体" w:cs="宋体"/>
                <w:color w:val="auto"/>
                <w:szCs w:val="21"/>
                <w:highlight w:val="none"/>
                <w:lang w:eastAsia="zh-CN" w:bidi="ar"/>
              </w:rPr>
              <w:t>承诺全部满足的得</w:t>
            </w:r>
            <w:r>
              <w:rPr>
                <w:rFonts w:hint="eastAsia" w:ascii="宋体" w:hAnsi="宋体" w:cs="宋体"/>
                <w:color w:val="auto"/>
                <w:szCs w:val="21"/>
                <w:highlight w:val="none"/>
                <w:lang w:val="en-US" w:eastAsia="zh-CN" w:bidi="ar"/>
              </w:rPr>
              <w:t>6分，投标人需提供承诺函加盖公章</w:t>
            </w:r>
            <w:r>
              <w:rPr>
                <w:rFonts w:hint="eastAsia" w:ascii="宋体" w:hAnsi="宋体" w:cs="宋体"/>
                <w:color w:val="auto"/>
                <w:szCs w:val="21"/>
                <w:highlight w:val="none"/>
                <w:lang w:eastAsia="zh-CN" w:bidi="ar"/>
              </w:rPr>
              <w:t>。</w:t>
            </w:r>
          </w:p>
          <w:p>
            <w:pPr>
              <w:pStyle w:val="2"/>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板材：</w:t>
            </w:r>
            <w:r>
              <w:rPr>
                <w:rFonts w:hint="eastAsia" w:ascii="宋体" w:hAnsi="宋体" w:eastAsia="宋体" w:cs="宋体"/>
                <w:color w:val="auto"/>
                <w:sz w:val="21"/>
                <w:szCs w:val="21"/>
                <w:highlight w:val="none"/>
              </w:rPr>
              <w:t>优质饰面</w:t>
            </w:r>
            <w:r>
              <w:rPr>
                <w:rFonts w:hint="eastAsia" w:ascii="宋体" w:hAnsi="宋体" w:eastAsia="宋体" w:cs="宋体"/>
                <w:color w:val="auto"/>
                <w:sz w:val="21"/>
                <w:szCs w:val="21"/>
                <w:highlight w:val="none"/>
                <w:lang w:eastAsia="zh-CN"/>
              </w:rPr>
              <w:t>实木生态板（松木、槐木质地较硬等木材，不得为杨木、柳木、水杉质地较脆软等木材），</w:t>
            </w:r>
            <w:r>
              <w:rPr>
                <w:rFonts w:hint="eastAsia" w:ascii="宋体" w:hAnsi="宋体" w:eastAsia="宋体" w:cs="宋体"/>
                <w:color w:val="auto"/>
                <w:sz w:val="21"/>
                <w:szCs w:val="21"/>
                <w:highlight w:val="none"/>
              </w:rPr>
              <w:t>环保三聚氰胺板</w:t>
            </w:r>
            <w:r>
              <w:rPr>
                <w:rFonts w:hint="eastAsia" w:ascii="宋体" w:hAnsi="宋体" w:eastAsia="宋体" w:cs="宋体"/>
                <w:color w:val="auto"/>
                <w:sz w:val="21"/>
                <w:szCs w:val="21"/>
                <w:highlight w:val="none"/>
                <w:lang w:eastAsia="zh-CN"/>
              </w:rPr>
              <w:t>（基材为实木多层板），满足材质要求加</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p>
          <w:p>
            <w:pPr>
              <w:pStyle w:val="2"/>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.五金：拉手材质</w:t>
            </w:r>
            <w:r>
              <w:rPr>
                <w:rFonts w:hint="default" w:ascii="宋体" w:hAnsi="宋体" w:eastAsia="宋体" w:cs="宋体"/>
                <w:color w:val="auto"/>
                <w:sz w:val="21"/>
                <w:szCs w:val="21"/>
                <w:highlight w:val="none"/>
                <w:lang w:val="en-US" w:eastAsia="zh-CN"/>
              </w:rPr>
              <w:t>采用</w:t>
            </w:r>
            <w:r>
              <w:rPr>
                <w:rFonts w:hint="eastAsia" w:ascii="宋体" w:hAnsi="宋体" w:eastAsia="宋体" w:cs="宋体"/>
                <w:color w:val="auto"/>
                <w:sz w:val="21"/>
                <w:szCs w:val="21"/>
                <w:highlight w:val="none"/>
                <w:lang w:val="en-US" w:eastAsia="zh-CN"/>
              </w:rPr>
              <w:t>304</w:t>
            </w:r>
            <w:r>
              <w:rPr>
                <w:rFonts w:hint="eastAsia" w:ascii="宋体" w:hAnsi="宋体" w:eastAsia="宋体" w:cs="宋体"/>
                <w:color w:val="auto"/>
                <w:sz w:val="21"/>
                <w:szCs w:val="21"/>
                <w:highlight w:val="none"/>
              </w:rPr>
              <w:t>不锈钢</w:t>
            </w:r>
            <w:r>
              <w:rPr>
                <w:rFonts w:hint="eastAsia" w:ascii="宋体" w:hAnsi="宋体" w:eastAsia="宋体" w:cs="宋体"/>
                <w:color w:val="auto"/>
                <w:sz w:val="21"/>
                <w:szCs w:val="21"/>
                <w:highlight w:val="none"/>
                <w:lang w:eastAsia="zh-CN"/>
              </w:rPr>
              <w:t>，满足材质要求加</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pPr>
              <w:pStyle w:val="2"/>
              <w:spacing w:after="0" w:line="360" w:lineRule="exact"/>
              <w:ind w:left="0" w:leftChars="0" w:firstLine="0" w:firstLineChars="0"/>
              <w:jc w:val="left"/>
              <w:rPr>
                <w:rFonts w:hint="eastAsia" w:ascii="宋体" w:hAnsi="宋体" w:cs="宋体"/>
                <w:spacing w:val="-13"/>
                <w:szCs w:val="21"/>
                <w:lang w:bidi="zh-CN"/>
              </w:rPr>
            </w:pPr>
            <w:r>
              <w:rPr>
                <w:rFonts w:hint="eastAsia" w:ascii="宋体" w:hAnsi="宋体" w:cs="宋体"/>
                <w:b/>
                <w:color w:val="auto"/>
                <w:szCs w:val="20"/>
                <w:highlight w:val="none"/>
                <w:lang w:bidi="ar"/>
              </w:rPr>
              <w:t>注：</w:t>
            </w:r>
            <w:r>
              <w:rPr>
                <w:rFonts w:hint="eastAsia" w:ascii="宋体" w:hAnsi="宋体" w:cs="宋体"/>
                <w:b/>
                <w:color w:val="auto"/>
                <w:szCs w:val="20"/>
                <w:highlight w:val="none"/>
                <w:lang w:eastAsia="zh-CN" w:bidi="ar"/>
              </w:rPr>
              <w:t>投标人需对板材、五金所采用的的材质进行承诺，否则该项不得分。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vMerge w:val="continue"/>
            <w:vAlign w:val="center"/>
          </w:tcPr>
          <w:p>
            <w:pPr>
              <w:spacing w:line="360" w:lineRule="exact"/>
              <w:jc w:val="left"/>
              <w:textAlignment w:val="center"/>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售后服务方案</w:t>
            </w:r>
          </w:p>
        </w:tc>
        <w:tc>
          <w:tcPr>
            <w:tcW w:w="750" w:type="dxa"/>
            <w:vAlign w:val="center"/>
          </w:tcPr>
          <w:p>
            <w:pPr>
              <w:spacing w:line="360" w:lineRule="exact"/>
              <w:jc w:val="left"/>
              <w:rPr>
                <w:rFonts w:hint="eastAsia" w:ascii="宋体" w:hAnsi="宋体" w:cs="宋体"/>
                <w:szCs w:val="21"/>
              </w:rPr>
            </w:pPr>
            <w:r>
              <w:rPr>
                <w:rFonts w:hint="eastAsia" w:ascii="宋体" w:hAnsi="宋体" w:cs="宋体"/>
                <w:szCs w:val="21"/>
                <w:lang w:val="en-US" w:eastAsia="zh-CN"/>
              </w:rPr>
              <w:t>7</w:t>
            </w:r>
            <w:r>
              <w:rPr>
                <w:rFonts w:hint="eastAsia" w:ascii="宋体" w:hAnsi="宋体" w:cs="宋体"/>
                <w:szCs w:val="21"/>
              </w:rPr>
              <w:t>分</w:t>
            </w:r>
          </w:p>
        </w:tc>
        <w:tc>
          <w:tcPr>
            <w:tcW w:w="6996" w:type="dxa"/>
            <w:tcBorders>
              <w:bottom w:val="single" w:color="auto" w:sz="4" w:space="0"/>
            </w:tcBorders>
            <w:vAlign w:val="center"/>
          </w:tcPr>
          <w:p>
            <w:pPr>
              <w:spacing w:line="360" w:lineRule="exact"/>
              <w:jc w:val="left"/>
              <w:rPr>
                <w:rFonts w:hint="eastAsia" w:ascii="宋体" w:hAnsi="宋体" w:cs="宋体"/>
                <w:szCs w:val="21"/>
              </w:rPr>
            </w:pPr>
            <w:r>
              <w:rPr>
                <w:rFonts w:hint="eastAsia" w:ascii="宋体" w:hAnsi="宋体" w:cs="宋体"/>
                <w:kern w:val="0"/>
                <w:szCs w:val="21"/>
              </w:rPr>
              <w:t>提供售后服务人员的配备，解决问题的能力、紧急故障处理预案，备品备件的详细方案、维修处理方案、响应速度等，整体符合用户实际需要。</w:t>
            </w:r>
          </w:p>
          <w:p>
            <w:pPr>
              <w:spacing w:line="360" w:lineRule="exact"/>
              <w:jc w:val="left"/>
              <w:rPr>
                <w:rFonts w:hint="eastAsia" w:ascii="宋体" w:hAnsi="宋体" w:cs="宋体"/>
                <w:szCs w:val="21"/>
              </w:rPr>
            </w:pPr>
            <w:r>
              <w:rPr>
                <w:rFonts w:hint="eastAsia" w:ascii="宋体" w:hAnsi="宋体" w:cs="宋体"/>
                <w:kern w:val="0"/>
                <w:szCs w:val="21"/>
              </w:rPr>
              <w:t>1)人员经验丰富、方案详细合理，反应速度快、针对性强的得</w:t>
            </w:r>
            <w:r>
              <w:rPr>
                <w:rFonts w:hint="eastAsia" w:ascii="宋体" w:hAnsi="宋体" w:cs="宋体"/>
                <w:kern w:val="0"/>
                <w:szCs w:val="21"/>
                <w:lang w:val="en-US" w:eastAsia="zh-CN"/>
              </w:rPr>
              <w:t>4</w:t>
            </w:r>
            <w:r>
              <w:rPr>
                <w:rFonts w:hint="eastAsia" w:ascii="宋体" w:hAnsi="宋体" w:cs="宋体"/>
                <w:kern w:val="0"/>
                <w:szCs w:val="21"/>
              </w:rPr>
              <w:t>-</w:t>
            </w:r>
            <w:r>
              <w:rPr>
                <w:rFonts w:hint="eastAsia" w:ascii="宋体" w:hAnsi="宋体" w:cs="宋体"/>
                <w:kern w:val="0"/>
                <w:szCs w:val="21"/>
                <w:lang w:val="en-US" w:eastAsia="zh-CN"/>
              </w:rPr>
              <w:t>7</w:t>
            </w:r>
            <w:r>
              <w:rPr>
                <w:rFonts w:hint="eastAsia" w:ascii="宋体" w:hAnsi="宋体" w:cs="宋体"/>
                <w:kern w:val="0"/>
                <w:szCs w:val="21"/>
              </w:rPr>
              <w:t>分。</w:t>
            </w:r>
          </w:p>
          <w:p>
            <w:pPr>
              <w:spacing w:line="360" w:lineRule="exact"/>
              <w:jc w:val="left"/>
              <w:rPr>
                <w:rFonts w:hint="eastAsia" w:ascii="宋体" w:hAnsi="宋体" w:cs="宋体"/>
                <w:szCs w:val="21"/>
              </w:rPr>
            </w:pPr>
            <w:r>
              <w:rPr>
                <w:rFonts w:hint="eastAsia" w:ascii="宋体" w:hAnsi="宋体" w:cs="宋体"/>
                <w:kern w:val="0"/>
                <w:szCs w:val="21"/>
              </w:rPr>
              <w:t>2)人员配备基本明确、方案基本可行的得0-</w:t>
            </w:r>
            <w:r>
              <w:rPr>
                <w:rFonts w:hint="eastAsia" w:ascii="宋体" w:hAnsi="宋体" w:cs="宋体"/>
                <w:kern w:val="0"/>
                <w:szCs w:val="21"/>
                <w:lang w:val="en-US" w:eastAsia="zh-CN"/>
              </w:rPr>
              <w:t>4</w:t>
            </w:r>
            <w:r>
              <w:rPr>
                <w:rFonts w:hint="eastAsia" w:ascii="宋体" w:hAnsi="宋体" w:cs="宋体"/>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vMerge w:val="continue"/>
            <w:vAlign w:val="center"/>
          </w:tcPr>
          <w:p>
            <w:pPr>
              <w:spacing w:line="360" w:lineRule="exact"/>
              <w:jc w:val="left"/>
              <w:textAlignment w:val="center"/>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生产方案</w:t>
            </w:r>
          </w:p>
        </w:tc>
        <w:tc>
          <w:tcPr>
            <w:tcW w:w="750" w:type="dxa"/>
            <w:vAlign w:val="center"/>
          </w:tcPr>
          <w:p>
            <w:pPr>
              <w:spacing w:line="360" w:lineRule="exact"/>
              <w:jc w:val="left"/>
              <w:rPr>
                <w:rFonts w:ascii="宋体" w:hAnsi="宋体" w:cs="宋体"/>
                <w:szCs w:val="21"/>
              </w:rPr>
            </w:pPr>
            <w:r>
              <w:rPr>
                <w:rFonts w:hint="eastAsia" w:ascii="宋体" w:hAnsi="宋体" w:cs="宋体"/>
                <w:szCs w:val="21"/>
                <w:lang w:val="en-US" w:eastAsia="zh-CN"/>
              </w:rPr>
              <w:t>8</w:t>
            </w:r>
            <w:r>
              <w:rPr>
                <w:rFonts w:hint="eastAsia" w:ascii="宋体" w:hAnsi="宋体" w:cs="宋体"/>
                <w:szCs w:val="21"/>
              </w:rPr>
              <w:t>分</w:t>
            </w:r>
          </w:p>
        </w:tc>
        <w:tc>
          <w:tcPr>
            <w:tcW w:w="6996" w:type="dxa"/>
            <w:tcBorders>
              <w:bottom w:val="single" w:color="auto" w:sz="4" w:space="0"/>
            </w:tcBorders>
            <w:vAlign w:val="center"/>
          </w:tcPr>
          <w:p>
            <w:pPr>
              <w:spacing w:line="360" w:lineRule="exact"/>
              <w:jc w:val="left"/>
              <w:rPr>
                <w:rFonts w:hint="eastAsia" w:ascii="宋体" w:hAnsi="宋体" w:cs="宋体"/>
                <w:kern w:val="0"/>
                <w:szCs w:val="21"/>
              </w:rPr>
            </w:pPr>
            <w:r>
              <w:rPr>
                <w:rFonts w:hint="eastAsia" w:ascii="宋体" w:hAnsi="宋体" w:cs="宋体"/>
                <w:kern w:val="0"/>
                <w:szCs w:val="21"/>
              </w:rPr>
              <w:t>生产计划保证措施；对备货、产品包装、供货进度等保证措施；对产品安装、调试等方面保证措施；方案合理可行、措施得力 评“优秀”的得</w:t>
            </w:r>
            <w:r>
              <w:rPr>
                <w:rFonts w:hint="eastAsia" w:ascii="宋体" w:hAnsi="宋体" w:cs="宋体"/>
                <w:kern w:val="0"/>
                <w:szCs w:val="21"/>
                <w:lang w:val="en-US" w:eastAsia="zh-CN"/>
              </w:rPr>
              <w:t>5</w:t>
            </w:r>
            <w:r>
              <w:rPr>
                <w:rFonts w:hint="eastAsia" w:ascii="宋体" w:hAnsi="宋体" w:cs="宋体"/>
                <w:kern w:val="0"/>
                <w:szCs w:val="21"/>
              </w:rPr>
              <w:t>-</w:t>
            </w:r>
            <w:r>
              <w:rPr>
                <w:rFonts w:hint="eastAsia" w:ascii="宋体" w:hAnsi="宋体" w:cs="宋体"/>
                <w:kern w:val="0"/>
                <w:szCs w:val="21"/>
                <w:lang w:val="en-US" w:eastAsia="zh-CN"/>
              </w:rPr>
              <w:t>8</w:t>
            </w:r>
            <w:r>
              <w:rPr>
                <w:rFonts w:hint="eastAsia" w:ascii="宋体" w:hAnsi="宋体" w:cs="宋体"/>
                <w:kern w:val="0"/>
                <w:szCs w:val="21"/>
              </w:rPr>
              <w:t>分；“良好”的得</w:t>
            </w:r>
            <w:r>
              <w:rPr>
                <w:rFonts w:hint="eastAsia" w:ascii="宋体" w:hAnsi="宋体" w:cs="宋体"/>
                <w:kern w:val="0"/>
                <w:szCs w:val="21"/>
                <w:lang w:val="en-US" w:eastAsia="zh-CN"/>
              </w:rPr>
              <w:t>3</w:t>
            </w:r>
            <w:r>
              <w:rPr>
                <w:rFonts w:hint="eastAsia" w:ascii="宋体" w:hAnsi="宋体" w:cs="宋体"/>
                <w:kern w:val="0"/>
                <w:szCs w:val="21"/>
              </w:rPr>
              <w:t>-</w:t>
            </w:r>
            <w:r>
              <w:rPr>
                <w:rFonts w:hint="eastAsia" w:ascii="宋体" w:hAnsi="宋体" w:cs="宋体"/>
                <w:kern w:val="0"/>
                <w:szCs w:val="21"/>
                <w:lang w:val="en-US" w:eastAsia="zh-CN"/>
              </w:rPr>
              <w:t>5</w:t>
            </w:r>
            <w:r>
              <w:rPr>
                <w:rFonts w:hint="eastAsia" w:ascii="宋体" w:hAnsi="宋体" w:cs="宋体"/>
                <w:kern w:val="0"/>
                <w:szCs w:val="21"/>
              </w:rPr>
              <w:t>分；“一般”的得0-3分；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73" w:type="dxa"/>
            <w:vMerge w:val="restart"/>
            <w:vAlign w:val="center"/>
          </w:tcPr>
          <w:p>
            <w:pPr>
              <w:spacing w:line="360" w:lineRule="exact"/>
              <w:jc w:val="left"/>
              <w:textAlignment w:val="center"/>
              <w:rPr>
                <w:rFonts w:hint="eastAsia" w:ascii="宋体" w:hAnsi="宋体" w:cs="宋体"/>
                <w:szCs w:val="21"/>
              </w:rPr>
            </w:pPr>
            <w:r>
              <w:rPr>
                <w:rFonts w:hint="eastAsia" w:ascii="宋体" w:hAnsi="宋体" w:cs="宋体"/>
                <w:kern w:val="0"/>
                <w:szCs w:val="21"/>
              </w:rPr>
              <w:t>商务部分</w:t>
            </w:r>
            <w:r>
              <w:rPr>
                <w:rFonts w:hint="eastAsia" w:ascii="宋体" w:hAnsi="宋体" w:cs="宋体"/>
                <w:kern w:val="0"/>
                <w:szCs w:val="21"/>
                <w:lang w:val="en-US" w:eastAsia="zh-CN"/>
              </w:rPr>
              <w:t>34</w:t>
            </w:r>
            <w:r>
              <w:rPr>
                <w:rFonts w:hint="eastAsia" w:ascii="宋体" w:hAnsi="宋体" w:cs="宋体"/>
                <w:kern w:val="0"/>
                <w:szCs w:val="21"/>
              </w:rPr>
              <w:t>分</w:t>
            </w: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企业综合实力</w:t>
            </w:r>
          </w:p>
        </w:tc>
        <w:tc>
          <w:tcPr>
            <w:tcW w:w="750" w:type="dxa"/>
            <w:vAlign w:val="center"/>
          </w:tcPr>
          <w:p>
            <w:pPr>
              <w:spacing w:line="360" w:lineRule="exact"/>
              <w:jc w:val="left"/>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rPr>
              <w:t>分</w:t>
            </w:r>
          </w:p>
        </w:tc>
        <w:tc>
          <w:tcPr>
            <w:tcW w:w="6996" w:type="dxa"/>
            <w:tcBorders>
              <w:top w:val="single" w:color="auto" w:sz="4" w:space="0"/>
            </w:tcBorders>
            <w:vAlign w:val="center"/>
          </w:tcPr>
          <w:p>
            <w:pPr>
              <w:spacing w:line="360" w:lineRule="exact"/>
              <w:jc w:val="left"/>
              <w:rPr>
                <w:rFonts w:hint="eastAsia" w:ascii="宋体" w:hAnsi="宋体" w:cs="宋体"/>
                <w:kern w:val="0"/>
                <w:szCs w:val="21"/>
              </w:rPr>
            </w:pPr>
            <w:r>
              <w:rPr>
                <w:rFonts w:hint="eastAsia" w:ascii="宋体" w:hAnsi="宋体" w:cs="宋体"/>
                <w:kern w:val="0"/>
                <w:szCs w:val="21"/>
              </w:rPr>
              <w:t>1、提供有效期内中国质量认证中心颁发的中国环保产品认证证书（CQC），且范围涵盖公寓组合床，得</w:t>
            </w:r>
            <w:r>
              <w:rPr>
                <w:rFonts w:hint="eastAsia" w:ascii="宋体" w:hAnsi="宋体" w:cs="宋体"/>
                <w:kern w:val="0"/>
                <w:szCs w:val="21"/>
                <w:lang w:val="en-US" w:eastAsia="zh-CN"/>
              </w:rPr>
              <w:t>2</w:t>
            </w:r>
            <w:r>
              <w:rPr>
                <w:rFonts w:hint="eastAsia" w:ascii="宋体" w:hAnsi="宋体" w:cs="宋体"/>
                <w:kern w:val="0"/>
                <w:szCs w:val="21"/>
              </w:rPr>
              <w:t>分；</w:t>
            </w:r>
          </w:p>
          <w:p>
            <w:pPr>
              <w:spacing w:line="360" w:lineRule="exact"/>
              <w:jc w:val="left"/>
              <w:rPr>
                <w:rFonts w:hint="eastAsia" w:ascii="宋体" w:hAnsi="宋体" w:cs="宋体"/>
                <w:kern w:val="0"/>
                <w:szCs w:val="21"/>
              </w:rPr>
            </w:pPr>
            <w:r>
              <w:rPr>
                <w:rFonts w:hint="eastAsia" w:ascii="宋体" w:hAnsi="宋体" w:cs="宋体"/>
                <w:kern w:val="0"/>
                <w:szCs w:val="21"/>
              </w:rPr>
              <w:t>2、提供有效期内中国生态环境部授权颁发的中国环境标志环境标志产品认证（十环CEC）证书，且范围涵盖学生公寓床的得</w:t>
            </w:r>
            <w:r>
              <w:rPr>
                <w:rFonts w:hint="eastAsia" w:ascii="宋体" w:hAnsi="宋体" w:cs="宋体"/>
                <w:kern w:val="0"/>
                <w:szCs w:val="21"/>
                <w:lang w:val="en-US" w:eastAsia="zh-CN"/>
              </w:rPr>
              <w:t>2</w:t>
            </w:r>
            <w:r>
              <w:rPr>
                <w:rFonts w:hint="eastAsia" w:ascii="宋体" w:hAnsi="宋体" w:cs="宋体"/>
                <w:kern w:val="0"/>
                <w:szCs w:val="21"/>
              </w:rPr>
              <w:t>分。</w:t>
            </w:r>
          </w:p>
          <w:p>
            <w:pPr>
              <w:pStyle w:val="38"/>
              <w:spacing w:before="8" w:line="360" w:lineRule="exact"/>
              <w:rPr>
                <w:rFonts w:hint="eastAsia"/>
                <w:szCs w:val="21"/>
              </w:rPr>
            </w:pPr>
            <w:r>
              <w:rPr>
                <w:rFonts w:hint="eastAsia" w:ascii="宋体" w:hAnsi="宋体" w:cs="宋体" w:eastAsiaTheme="minorEastAsia"/>
                <w:b/>
                <w:bCs/>
                <w:kern w:val="2"/>
                <w:sz w:val="21"/>
                <w:szCs w:val="21"/>
                <w:lang w:val="en-US" w:eastAsia="zh-CN" w:bidi="ar-SA"/>
              </w:rPr>
              <w:t>（评审依据：提供证书原件扫描件加盖公章及官网查询截图以及查询网址加盖公章。）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773" w:type="dxa"/>
            <w:vMerge w:val="continue"/>
            <w:vAlign w:val="center"/>
          </w:tcPr>
          <w:p>
            <w:pPr>
              <w:spacing w:line="360" w:lineRule="exact"/>
              <w:jc w:val="left"/>
              <w:textAlignment w:val="center"/>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质保期</w:t>
            </w:r>
          </w:p>
        </w:tc>
        <w:tc>
          <w:tcPr>
            <w:tcW w:w="750" w:type="dxa"/>
            <w:vAlign w:val="center"/>
          </w:tcPr>
          <w:p>
            <w:pPr>
              <w:spacing w:line="360" w:lineRule="exact"/>
              <w:jc w:val="left"/>
              <w:rPr>
                <w:rFonts w:hint="eastAsia" w:ascii="宋体" w:hAnsi="宋体" w:cs="宋体"/>
                <w:szCs w:val="21"/>
              </w:rPr>
            </w:pPr>
            <w:r>
              <w:rPr>
                <w:rFonts w:hint="eastAsia" w:ascii="宋体" w:hAnsi="宋体" w:cs="宋体"/>
                <w:szCs w:val="21"/>
              </w:rPr>
              <w:t>6分</w:t>
            </w:r>
          </w:p>
        </w:tc>
        <w:tc>
          <w:tcPr>
            <w:tcW w:w="6996" w:type="dxa"/>
            <w:vAlign w:val="center"/>
          </w:tcPr>
          <w:p>
            <w:pPr>
              <w:snapToGrid w:val="0"/>
              <w:spacing w:line="360" w:lineRule="exact"/>
              <w:jc w:val="left"/>
              <w:rPr>
                <w:rFonts w:hint="eastAsia" w:ascii="宋体" w:hAnsi="宋体" w:cs="宋体"/>
                <w:szCs w:val="21"/>
              </w:rPr>
            </w:pPr>
            <w:r>
              <w:rPr>
                <w:rFonts w:hint="eastAsia" w:ascii="宋体" w:hAnsi="宋体" w:cs="宋体"/>
                <w:szCs w:val="21"/>
              </w:rPr>
              <w:t>在满足3年质保期基础的每增加一年加2分，最高加6分。</w:t>
            </w:r>
            <w:r>
              <w:rPr>
                <w:rFonts w:hint="eastAsia" w:ascii="宋体" w:hAnsi="宋体" w:cs="宋体"/>
                <w:b/>
                <w:bCs/>
                <w:szCs w:val="21"/>
              </w:rPr>
              <w:t>评审依据：投标文件中提供质保承诺函。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73" w:type="dxa"/>
            <w:vMerge w:val="continue"/>
            <w:vAlign w:val="center"/>
          </w:tcPr>
          <w:p>
            <w:pPr>
              <w:spacing w:line="360" w:lineRule="exact"/>
              <w:jc w:val="left"/>
              <w:textAlignment w:val="center"/>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工期</w:t>
            </w:r>
          </w:p>
        </w:tc>
        <w:tc>
          <w:tcPr>
            <w:tcW w:w="750" w:type="dxa"/>
            <w:vAlign w:val="center"/>
          </w:tcPr>
          <w:p>
            <w:pPr>
              <w:spacing w:line="360" w:lineRule="exact"/>
              <w:jc w:val="left"/>
              <w:rPr>
                <w:rFonts w:ascii="宋体" w:hAnsi="宋体" w:cs="宋体"/>
                <w:szCs w:val="21"/>
              </w:rPr>
            </w:pPr>
            <w:r>
              <w:rPr>
                <w:rFonts w:hint="eastAsia" w:ascii="宋体" w:hAnsi="宋体" w:cs="宋体"/>
                <w:szCs w:val="21"/>
                <w:lang w:val="en-US" w:eastAsia="zh-CN"/>
              </w:rPr>
              <w:t>5</w:t>
            </w:r>
            <w:r>
              <w:rPr>
                <w:rFonts w:hint="eastAsia" w:ascii="宋体" w:hAnsi="宋体" w:cs="宋体"/>
                <w:szCs w:val="21"/>
              </w:rPr>
              <w:t>分</w:t>
            </w:r>
          </w:p>
        </w:tc>
        <w:tc>
          <w:tcPr>
            <w:tcW w:w="6996" w:type="dxa"/>
            <w:vAlign w:val="center"/>
          </w:tcPr>
          <w:p>
            <w:pPr>
              <w:snapToGrid w:val="0"/>
              <w:spacing w:line="360" w:lineRule="exact"/>
              <w:jc w:val="left"/>
              <w:rPr>
                <w:rFonts w:hint="default" w:ascii="宋体" w:hAnsi="宋体" w:cs="宋体" w:eastAsiaTheme="minorEastAsia"/>
                <w:szCs w:val="21"/>
                <w:lang w:val="en-US" w:eastAsia="zh-CN"/>
              </w:rPr>
            </w:pPr>
            <w:r>
              <w:rPr>
                <w:rFonts w:hint="eastAsia" w:ascii="宋体" w:hAnsi="宋体" w:cs="宋体"/>
                <w:szCs w:val="21"/>
              </w:rPr>
              <w:t>投标人承诺在</w:t>
            </w:r>
            <w:r>
              <w:rPr>
                <w:rFonts w:hint="eastAsia" w:ascii="宋体" w:hAnsi="宋体" w:cs="宋体"/>
                <w:szCs w:val="21"/>
                <w:lang w:val="en-US" w:eastAsia="zh-CN"/>
              </w:rPr>
              <w:t>20</w:t>
            </w:r>
            <w:r>
              <w:rPr>
                <w:rFonts w:hint="eastAsia" w:ascii="宋体" w:hAnsi="宋体" w:cs="宋体"/>
                <w:szCs w:val="21"/>
              </w:rPr>
              <w:t>天工期的基础上</w:t>
            </w:r>
            <w:r>
              <w:rPr>
                <w:rFonts w:hint="eastAsia" w:ascii="宋体" w:hAnsi="宋体" w:cs="宋体"/>
                <w:szCs w:val="21"/>
                <w:lang w:eastAsia="zh-CN"/>
              </w:rPr>
              <w:t>每</w:t>
            </w:r>
            <w:r>
              <w:rPr>
                <w:rFonts w:hint="eastAsia" w:ascii="宋体" w:hAnsi="宋体" w:cs="宋体"/>
                <w:szCs w:val="21"/>
              </w:rPr>
              <w:t>缩短</w:t>
            </w:r>
            <w:r>
              <w:rPr>
                <w:rFonts w:hint="eastAsia" w:ascii="宋体" w:hAnsi="宋体" w:cs="宋体"/>
                <w:szCs w:val="21"/>
                <w:lang w:val="en-US" w:eastAsia="zh-CN"/>
              </w:rPr>
              <w:t>1</w:t>
            </w:r>
            <w:r>
              <w:rPr>
                <w:rFonts w:hint="eastAsia" w:ascii="宋体" w:hAnsi="宋体" w:cs="宋体"/>
                <w:szCs w:val="21"/>
              </w:rPr>
              <w:t>天工期加1分</w:t>
            </w:r>
            <w:r>
              <w:rPr>
                <w:rFonts w:hint="eastAsia" w:ascii="宋体" w:hAnsi="宋体" w:cs="宋体"/>
                <w:szCs w:val="21"/>
                <w:lang w:eastAsia="zh-CN"/>
              </w:rPr>
              <w:t>，最多加</w:t>
            </w:r>
            <w:r>
              <w:rPr>
                <w:rFonts w:hint="eastAsia" w:ascii="宋体" w:hAnsi="宋体" w:cs="宋体"/>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773" w:type="dxa"/>
            <w:vMerge w:val="continue"/>
            <w:vAlign w:val="center"/>
          </w:tcPr>
          <w:p>
            <w:pPr>
              <w:spacing w:line="360" w:lineRule="exact"/>
              <w:jc w:val="left"/>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售后服务响应承诺</w:t>
            </w:r>
          </w:p>
        </w:tc>
        <w:tc>
          <w:tcPr>
            <w:tcW w:w="750" w:type="dxa"/>
            <w:vAlign w:val="center"/>
          </w:tcPr>
          <w:p>
            <w:pPr>
              <w:spacing w:line="360" w:lineRule="exact"/>
              <w:jc w:val="left"/>
              <w:rPr>
                <w:rFonts w:hint="eastAsia" w:ascii="宋体" w:hAnsi="宋体" w:cs="宋体"/>
                <w:szCs w:val="21"/>
              </w:rPr>
            </w:pPr>
            <w:r>
              <w:rPr>
                <w:rFonts w:hint="eastAsia" w:ascii="宋体" w:hAnsi="宋体" w:cs="宋体"/>
                <w:szCs w:val="21"/>
              </w:rPr>
              <w:t>4分</w:t>
            </w:r>
          </w:p>
        </w:tc>
        <w:tc>
          <w:tcPr>
            <w:tcW w:w="6996" w:type="dxa"/>
            <w:vAlign w:val="center"/>
          </w:tcPr>
          <w:p>
            <w:pPr>
              <w:spacing w:line="360" w:lineRule="exact"/>
              <w:jc w:val="left"/>
              <w:rPr>
                <w:rFonts w:hint="eastAsia" w:ascii="宋体" w:hAnsi="宋体" w:cs="宋体"/>
                <w:szCs w:val="21"/>
              </w:rPr>
            </w:pPr>
            <w:r>
              <w:rPr>
                <w:rFonts w:hint="eastAsia" w:ascii="宋体" w:hAnsi="宋体" w:cs="宋体"/>
                <w:kern w:val="0"/>
                <w:szCs w:val="21"/>
              </w:rPr>
              <w:t>投标人承诺故障响应时间：在保修期内经常回访，有问题做到及时处理。出现质量问题或故障时，响应时间≤2小时，</w:t>
            </w:r>
            <w:r>
              <w:rPr>
                <w:rFonts w:hint="eastAsia" w:ascii="宋体" w:hAnsi="宋体" w:cs="宋体"/>
                <w:kern w:val="0"/>
                <w:szCs w:val="21"/>
                <w:lang w:val="en-US" w:eastAsia="zh-CN"/>
              </w:rPr>
              <w:t>6</w:t>
            </w:r>
            <w:r>
              <w:rPr>
                <w:rFonts w:hint="eastAsia" w:ascii="宋体" w:hAnsi="宋体" w:cs="宋体"/>
                <w:kern w:val="0"/>
                <w:szCs w:val="21"/>
              </w:rPr>
              <w:t>小时内到达现场，到达现场后6个工时处理完毕，无法修复的，需提供同等参数要求的备用产品进行更换，得4分。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73" w:type="dxa"/>
            <w:vMerge w:val="continue"/>
            <w:vAlign w:val="center"/>
          </w:tcPr>
          <w:p>
            <w:pPr>
              <w:spacing w:line="360" w:lineRule="exact"/>
              <w:jc w:val="left"/>
              <w:rPr>
                <w:rFonts w:hint="eastAsia" w:ascii="宋体" w:hAnsi="宋体" w:cs="宋体"/>
                <w:szCs w:val="21"/>
              </w:rPr>
            </w:pPr>
          </w:p>
        </w:tc>
        <w:tc>
          <w:tcPr>
            <w:tcW w:w="900" w:type="dxa"/>
            <w:vAlign w:val="center"/>
          </w:tcPr>
          <w:p>
            <w:pPr>
              <w:spacing w:line="360" w:lineRule="exact"/>
              <w:jc w:val="left"/>
              <w:rPr>
                <w:rFonts w:hint="eastAsia" w:ascii="宋体" w:hAnsi="宋体" w:cs="宋体"/>
                <w:szCs w:val="21"/>
              </w:rPr>
            </w:pPr>
            <w:r>
              <w:rPr>
                <w:rFonts w:hint="eastAsia" w:ascii="宋体" w:hAnsi="宋体" w:cs="宋体"/>
                <w:szCs w:val="21"/>
              </w:rPr>
              <w:t>类似业绩</w:t>
            </w:r>
          </w:p>
        </w:tc>
        <w:tc>
          <w:tcPr>
            <w:tcW w:w="750" w:type="dxa"/>
            <w:vAlign w:val="center"/>
          </w:tcPr>
          <w:p>
            <w:pPr>
              <w:spacing w:line="360" w:lineRule="exact"/>
              <w:jc w:val="left"/>
              <w:rPr>
                <w:rFonts w:hint="eastAsia" w:ascii="宋体" w:hAnsi="宋体" w:cs="宋体"/>
                <w:szCs w:val="21"/>
              </w:rPr>
            </w:pPr>
            <w:r>
              <w:rPr>
                <w:rFonts w:hint="eastAsia" w:ascii="宋体" w:hAnsi="宋体" w:cs="宋体"/>
                <w:szCs w:val="21"/>
                <w:lang w:val="en-US" w:eastAsia="zh-CN"/>
              </w:rPr>
              <w:t>15</w:t>
            </w:r>
            <w:r>
              <w:rPr>
                <w:rFonts w:hint="eastAsia" w:ascii="宋体" w:hAnsi="宋体" w:cs="宋体"/>
                <w:szCs w:val="21"/>
              </w:rPr>
              <w:t>分</w:t>
            </w:r>
          </w:p>
        </w:tc>
        <w:tc>
          <w:tcPr>
            <w:tcW w:w="6996" w:type="dxa"/>
            <w:vAlign w:val="center"/>
          </w:tcPr>
          <w:p>
            <w:pPr>
              <w:spacing w:line="360" w:lineRule="exact"/>
              <w:jc w:val="left"/>
              <w:rPr>
                <w:rFonts w:hint="eastAsia" w:ascii="宋体" w:hAnsi="宋体" w:cs="宋体"/>
                <w:szCs w:val="21"/>
              </w:rPr>
            </w:pPr>
            <w:r>
              <w:rPr>
                <w:rFonts w:hint="eastAsia" w:ascii="宋体" w:hAnsi="宋体" w:cs="宋体"/>
                <w:szCs w:val="21"/>
              </w:rPr>
              <w:t>提供所响应产品近</w:t>
            </w:r>
            <w:r>
              <w:rPr>
                <w:rFonts w:hint="eastAsia" w:ascii="宋体" w:hAnsi="宋体" w:cs="宋体"/>
                <w:szCs w:val="21"/>
                <w:lang w:eastAsia="zh-CN"/>
              </w:rPr>
              <w:t>三</w:t>
            </w:r>
            <w:r>
              <w:rPr>
                <w:rFonts w:hint="eastAsia" w:ascii="宋体" w:hAnsi="宋体" w:cs="宋体"/>
                <w:szCs w:val="21"/>
              </w:rPr>
              <w:t>年（201</w:t>
            </w:r>
            <w:r>
              <w:rPr>
                <w:rFonts w:hint="eastAsia" w:ascii="宋体" w:hAnsi="宋体" w:cs="宋体"/>
                <w:szCs w:val="21"/>
                <w:lang w:val="en-US" w:eastAsia="zh-CN"/>
              </w:rPr>
              <w:t>9</w:t>
            </w:r>
            <w:r>
              <w:rPr>
                <w:rFonts w:hint="eastAsia" w:ascii="宋体" w:hAnsi="宋体" w:cs="宋体"/>
                <w:szCs w:val="21"/>
              </w:rPr>
              <w:t>年至今）内承担过1</w:t>
            </w:r>
            <w:r>
              <w:rPr>
                <w:rFonts w:hint="eastAsia" w:ascii="宋体" w:hAnsi="宋体" w:cs="宋体"/>
                <w:szCs w:val="21"/>
                <w:lang w:val="en-US" w:eastAsia="zh-CN"/>
              </w:rPr>
              <w:t>00</w:t>
            </w:r>
            <w:r>
              <w:rPr>
                <w:rFonts w:hint="eastAsia" w:ascii="宋体" w:hAnsi="宋体" w:cs="宋体"/>
                <w:szCs w:val="21"/>
              </w:rPr>
              <w:t>万元及以上家具销售及安装业绩，提供</w:t>
            </w:r>
            <w:r>
              <w:rPr>
                <w:rFonts w:hint="eastAsia" w:ascii="宋体" w:hAnsi="宋体" w:cs="宋体"/>
                <w:szCs w:val="21"/>
                <w:lang w:val="en-US" w:eastAsia="zh-CN"/>
              </w:rPr>
              <w:t>1</w:t>
            </w:r>
            <w:r>
              <w:rPr>
                <w:rFonts w:hint="eastAsia" w:ascii="宋体" w:hAnsi="宋体" w:cs="宋体"/>
                <w:szCs w:val="21"/>
              </w:rPr>
              <w:t>项得</w:t>
            </w:r>
            <w:r>
              <w:rPr>
                <w:rFonts w:hint="eastAsia" w:ascii="宋体" w:hAnsi="宋体" w:cs="宋体"/>
                <w:szCs w:val="21"/>
                <w:lang w:val="en-US" w:eastAsia="zh-CN"/>
              </w:rPr>
              <w:t>3</w:t>
            </w:r>
            <w:r>
              <w:rPr>
                <w:rFonts w:hint="eastAsia" w:ascii="宋体" w:hAnsi="宋体" w:cs="宋体"/>
                <w:szCs w:val="21"/>
              </w:rPr>
              <w:t>分，每增加一项得</w:t>
            </w:r>
            <w:r>
              <w:rPr>
                <w:rFonts w:hint="eastAsia" w:ascii="宋体" w:hAnsi="宋体" w:cs="宋体"/>
                <w:szCs w:val="21"/>
                <w:lang w:val="en-US" w:eastAsia="zh-CN"/>
              </w:rPr>
              <w:t>3</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rPr>
              <w:t>本项最高得</w:t>
            </w:r>
            <w:r>
              <w:rPr>
                <w:rFonts w:hint="eastAsia" w:ascii="宋体" w:hAnsi="宋体" w:cs="宋体"/>
                <w:szCs w:val="21"/>
                <w:lang w:val="en-US" w:eastAsia="zh-CN"/>
              </w:rPr>
              <w:t>15</w:t>
            </w:r>
            <w:r>
              <w:rPr>
                <w:rFonts w:hint="eastAsia" w:ascii="宋体" w:hAnsi="宋体" w:cs="宋体"/>
                <w:szCs w:val="21"/>
              </w:rPr>
              <w:t>分。（提供采购合同及验收证明材料复印件作为证明材料）</w:t>
            </w:r>
          </w:p>
        </w:tc>
      </w:tr>
    </w:tbl>
    <w:p>
      <w:pPr>
        <w:spacing w:line="360" w:lineRule="auto"/>
        <w:ind w:firstLine="420" w:firstLineChars="200"/>
        <w:jc w:val="left"/>
        <w:rPr>
          <w:rFonts w:asciiTheme="minorEastAsia" w:hAnsiTheme="minorEastAsia"/>
          <w:szCs w:val="21"/>
        </w:rPr>
      </w:pPr>
      <w:r>
        <w:rPr>
          <w:rFonts w:hint="eastAsia" w:asciiTheme="minorEastAsia" w:hAnsiTheme="minorEastAsia"/>
          <w:szCs w:val="21"/>
        </w:rPr>
        <w:t xml:space="preserve">二、计分方法 </w:t>
      </w:r>
    </w:p>
    <w:p>
      <w:pPr>
        <w:spacing w:line="360" w:lineRule="auto"/>
        <w:ind w:firstLine="420" w:firstLineChars="200"/>
        <w:jc w:val="left"/>
        <w:rPr>
          <w:rFonts w:asciiTheme="minorEastAsia" w:hAnsiTheme="minorEastAsia"/>
          <w:szCs w:val="21"/>
        </w:rPr>
      </w:pPr>
      <w:bookmarkStart w:id="0" w:name="_Toc13053"/>
      <w:bookmarkStart w:id="1" w:name="_Toc17050"/>
      <w:r>
        <w:rPr>
          <w:rFonts w:hint="eastAsia" w:asciiTheme="minorEastAsia" w:hAnsiTheme="minorEastAsia"/>
          <w:szCs w:val="21"/>
        </w:rPr>
        <w:t>3.1 评标委员会成员按照招标文件和本细则上述有关规定，给投标人综合评审，独立打分；</w:t>
      </w:r>
      <w:bookmarkEnd w:id="0"/>
      <w:bookmarkEnd w:id="1"/>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2" w:name="_Toc21677"/>
      <w:bookmarkStart w:id="3" w:name="_Toc18166"/>
      <w:r>
        <w:rPr>
          <w:rFonts w:hint="eastAsia" w:asciiTheme="minorEastAsia" w:hAnsiTheme="minorEastAsia"/>
          <w:szCs w:val="21"/>
        </w:rPr>
        <w:t>3.2 各投标人的最终得分为各评委所评定分数的算术平均值；</w:t>
      </w:r>
      <w:bookmarkEnd w:id="2"/>
      <w:bookmarkEnd w:id="3"/>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4" w:name="_Toc7843"/>
      <w:bookmarkStart w:id="5" w:name="_Toc29019"/>
      <w:r>
        <w:rPr>
          <w:rFonts w:hint="eastAsia" w:asciiTheme="minorEastAsia" w:hAnsiTheme="minorEastAsia"/>
          <w:szCs w:val="21"/>
        </w:rPr>
        <w:t>3.3 各项统计、评分结果均按四舍五入方法精确到小数点后两位；</w:t>
      </w:r>
      <w:bookmarkEnd w:id="4"/>
      <w:bookmarkEnd w:id="5"/>
      <w:r>
        <w:rPr>
          <w:rFonts w:hint="eastAsia" w:asciiTheme="minorEastAsia" w:hAnsiTheme="minorEastAsia"/>
          <w:szCs w:val="21"/>
        </w:rPr>
        <w:t xml:space="preserve"> </w:t>
      </w:r>
      <w:bookmarkStart w:id="6" w:name="_Toc17319"/>
      <w:bookmarkStart w:id="7" w:name="_Toc26608"/>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3.4 评标完成后，评标委员会应当根据综合评分情况，按照评审得分由高到低顺序推荐3名中标候选人，并编写评标报告。评审得分相同的，按照最后报价由低到高的顺序推</w:t>
      </w:r>
      <w:bookmarkEnd w:id="6"/>
      <w:bookmarkEnd w:id="7"/>
      <w:bookmarkStart w:id="8" w:name="_Toc3669"/>
      <w:bookmarkStart w:id="9" w:name="_Toc23575"/>
      <w:r>
        <w:rPr>
          <w:rFonts w:hint="eastAsia" w:asciiTheme="minorEastAsia" w:hAnsiTheme="minorEastAsia"/>
          <w:szCs w:val="21"/>
        </w:rPr>
        <w:t>荐。评审得分且最后报价相同的，按照技术指标优劣顺序推荐。</w:t>
      </w:r>
      <w:bookmarkEnd w:id="8"/>
      <w:bookmarkEnd w:id="9"/>
    </w:p>
    <w:p>
      <w:pPr>
        <w:jc w:val="center"/>
        <w:rPr>
          <w:b/>
          <w:bCs/>
          <w:szCs w:val="21"/>
        </w:rPr>
      </w:pPr>
    </w:p>
    <w:p>
      <w:pPr>
        <w:rPr>
          <w:b/>
          <w:bCs/>
          <w:szCs w:val="21"/>
        </w:rPr>
      </w:pPr>
      <w:r>
        <w:rPr>
          <w:rFonts w:hint="eastAsia"/>
          <w:b/>
          <w:bCs/>
          <w:szCs w:val="21"/>
        </w:rPr>
        <w:br w:type="page"/>
      </w:r>
    </w:p>
    <w:p>
      <w:pPr>
        <w:jc w:val="center"/>
        <w:rPr>
          <w:rFonts w:ascii="宋体" w:hAnsi="宋体" w:eastAsia="宋体"/>
          <w:b/>
          <w:szCs w:val="21"/>
        </w:rPr>
      </w:pPr>
      <w:r>
        <w:rPr>
          <w:rFonts w:ascii="宋体" w:hAnsi="宋体" w:eastAsia="宋体"/>
          <w:b/>
          <w:szCs w:val="21"/>
        </w:rPr>
        <w:t>报名登记表</w:t>
      </w:r>
    </w:p>
    <w:p>
      <w:pPr>
        <w:jc w:val="center"/>
        <w:rPr>
          <w:rFonts w:ascii="宋体" w:hAnsi="宋体" w:eastAsia="宋体"/>
          <w:szCs w:val="21"/>
        </w:rPr>
      </w:pPr>
    </w:p>
    <w:tbl>
      <w:tblPr>
        <w:tblStyle w:val="17"/>
        <w:tblW w:w="9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项目名称</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报名单位</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w:t>
            </w:r>
          </w:p>
        </w:tc>
        <w:tc>
          <w:tcPr>
            <w:tcW w:w="7264" w:type="dxa"/>
            <w:vAlign w:val="center"/>
          </w:tcPr>
          <w:p>
            <w:pPr>
              <w:spacing w:before="100" w:beforeAutospacing="1" w:after="100" w:afterAutospacing="1"/>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报名联系人手机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报名联系人座机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spacing w:line="360" w:lineRule="auto"/>
              <w:jc w:val="center"/>
              <w:rPr>
                <w:szCs w:val="21"/>
              </w:rPr>
            </w:pPr>
            <w:r>
              <w:rPr>
                <w:rFonts w:hint="eastAsia"/>
                <w:szCs w:val="21"/>
              </w:rPr>
              <w:t>报名联系人</w:t>
            </w:r>
          </w:p>
          <w:p>
            <w:pPr>
              <w:spacing w:line="360" w:lineRule="auto"/>
              <w:jc w:val="center"/>
              <w:rPr>
                <w:szCs w:val="21"/>
              </w:rPr>
            </w:pPr>
            <w:r>
              <w:rPr>
                <w:rFonts w:hint="eastAsia"/>
                <w:szCs w:val="21"/>
              </w:rPr>
              <w:t>电子邮箱</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1987" w:type="dxa"/>
            <w:vAlign w:val="center"/>
          </w:tcPr>
          <w:p>
            <w:pPr>
              <w:spacing w:after="240"/>
              <w:jc w:val="center"/>
              <w:rPr>
                <w:szCs w:val="21"/>
              </w:rPr>
            </w:pPr>
            <w:r>
              <w:rPr>
                <w:rFonts w:hint="eastAsia"/>
                <w:szCs w:val="21"/>
              </w:rPr>
              <w:t>投标单位登记须知</w:t>
            </w:r>
          </w:p>
        </w:tc>
        <w:tc>
          <w:tcPr>
            <w:tcW w:w="7264" w:type="dxa"/>
            <w:vAlign w:val="center"/>
          </w:tcPr>
          <w:p>
            <w:pPr>
              <w:spacing w:line="360" w:lineRule="auto"/>
              <w:ind w:firstLine="480" w:firstLineChars="200"/>
              <w:rPr>
                <w:rFonts w:ascii="宋体" w:hAnsi="宋体" w:cs="Calibri"/>
                <w:kern w:val="0"/>
                <w:sz w:val="24"/>
              </w:rPr>
            </w:pPr>
            <w:r>
              <w:rPr>
                <w:rFonts w:hint="eastAsia" w:ascii="宋体" w:hAnsi="宋体" w:cs="宋体"/>
                <w:color w:val="333333"/>
                <w:kern w:val="0"/>
                <w:sz w:val="24"/>
                <w:szCs w:val="24"/>
              </w:rPr>
              <w:t>1、请投标人如实填写《报名登记表》在报名截止前发送至13700253@qq.com，并递交300元投标报名费。</w:t>
            </w:r>
          </w:p>
          <w:p>
            <w:pPr>
              <w:spacing w:line="400" w:lineRule="exact"/>
              <w:ind w:firstLine="480" w:firstLineChars="200"/>
              <w:rPr>
                <w:rFonts w:ascii="宋体" w:hAnsi="宋体" w:cs="宋体"/>
                <w:color w:val="333333"/>
                <w:kern w:val="0"/>
                <w:sz w:val="24"/>
                <w:szCs w:val="24"/>
              </w:rPr>
            </w:pPr>
            <w:r>
              <w:rPr>
                <w:rFonts w:hint="eastAsia" w:ascii="宋体" w:hAnsi="宋体" w:cs="宋体"/>
                <w:color w:val="333333"/>
                <w:kern w:val="0"/>
                <w:sz w:val="24"/>
                <w:szCs w:val="24"/>
              </w:rPr>
              <w:t>2、代理公司账户：</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户名：黄石城发工程咨询有限公司</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帐号：714903123910101</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开户行：招商银行股份有限公司黄石分行营业部</w:t>
            </w:r>
          </w:p>
          <w:p>
            <w:pPr>
              <w:spacing w:after="240" w:line="440" w:lineRule="exact"/>
              <w:rPr>
                <w:szCs w:val="21"/>
              </w:rPr>
            </w:pPr>
          </w:p>
        </w:tc>
      </w:tr>
    </w:tbl>
    <w:p>
      <w:pPr>
        <w:spacing w:line="480" w:lineRule="exact"/>
        <w:rPr>
          <w:rFonts w:ascii="宋体" w:hAnsi="宋体"/>
          <w:color w:val="000000"/>
          <w:szCs w:val="21"/>
        </w:rPr>
      </w:pPr>
    </w:p>
    <w:p>
      <w:pPr>
        <w:spacing w:line="480" w:lineRule="exact"/>
        <w:rPr>
          <w:rFonts w:ascii="宋体" w:hAnsi="宋体"/>
          <w:color w:val="000000"/>
          <w:szCs w:val="21"/>
        </w:rPr>
      </w:pPr>
    </w:p>
    <w:sectPr>
      <w:type w:val="evenPage"/>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25126"/>
    </w:sdtPr>
    <w:sdtContent>
      <w:p>
        <w:pPr>
          <w:pStyle w:val="11"/>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169888"/>
    <w:multiLevelType w:val="singleLevel"/>
    <w:tmpl w:val="9B169888"/>
    <w:lvl w:ilvl="0" w:tentative="0">
      <w:start w:val="1"/>
      <w:numFmt w:val="chineseCounting"/>
      <w:suff w:val="nothing"/>
      <w:lvlText w:val="%1、"/>
      <w:lvlJc w:val="left"/>
      <w:rPr>
        <w:rFonts w:hint="eastAsia"/>
      </w:rPr>
    </w:lvl>
  </w:abstractNum>
  <w:abstractNum w:abstractNumId="1">
    <w:nsid w:val="3650614D"/>
    <w:multiLevelType w:val="singleLevel"/>
    <w:tmpl w:val="3650614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U4ZTRkM2Q2YjM1NmY0MjgyY2Q4MWFhOWUwN2FkYjkifQ=="/>
  </w:docVars>
  <w:rsids>
    <w:rsidRoot w:val="00150BC1"/>
    <w:rsid w:val="00003ED6"/>
    <w:rsid w:val="0000717B"/>
    <w:rsid w:val="000100FA"/>
    <w:rsid w:val="00017C55"/>
    <w:rsid w:val="000200BC"/>
    <w:rsid w:val="00023660"/>
    <w:rsid w:val="00024528"/>
    <w:rsid w:val="000269E6"/>
    <w:rsid w:val="0003433C"/>
    <w:rsid w:val="000431D5"/>
    <w:rsid w:val="00045F29"/>
    <w:rsid w:val="000535A4"/>
    <w:rsid w:val="00057122"/>
    <w:rsid w:val="00061F76"/>
    <w:rsid w:val="00067926"/>
    <w:rsid w:val="00075A6E"/>
    <w:rsid w:val="000775A3"/>
    <w:rsid w:val="000811A4"/>
    <w:rsid w:val="00082E96"/>
    <w:rsid w:val="000904BD"/>
    <w:rsid w:val="00091842"/>
    <w:rsid w:val="000956DD"/>
    <w:rsid w:val="000A06EA"/>
    <w:rsid w:val="000A08EE"/>
    <w:rsid w:val="000C174F"/>
    <w:rsid w:val="000C179D"/>
    <w:rsid w:val="000C3D49"/>
    <w:rsid w:val="000D0EE1"/>
    <w:rsid w:val="000E1EB5"/>
    <w:rsid w:val="000E555D"/>
    <w:rsid w:val="000E7039"/>
    <w:rsid w:val="000F1841"/>
    <w:rsid w:val="000F6042"/>
    <w:rsid w:val="00113F16"/>
    <w:rsid w:val="001153FC"/>
    <w:rsid w:val="00116189"/>
    <w:rsid w:val="00117D49"/>
    <w:rsid w:val="001239C2"/>
    <w:rsid w:val="00137E2B"/>
    <w:rsid w:val="00150BC1"/>
    <w:rsid w:val="00153AED"/>
    <w:rsid w:val="00153D79"/>
    <w:rsid w:val="0015576B"/>
    <w:rsid w:val="001626F9"/>
    <w:rsid w:val="00171748"/>
    <w:rsid w:val="00184DAF"/>
    <w:rsid w:val="001870B7"/>
    <w:rsid w:val="001922BD"/>
    <w:rsid w:val="001963A0"/>
    <w:rsid w:val="001966DA"/>
    <w:rsid w:val="001979D4"/>
    <w:rsid w:val="001A0362"/>
    <w:rsid w:val="001B3F9F"/>
    <w:rsid w:val="001B487E"/>
    <w:rsid w:val="001C31CB"/>
    <w:rsid w:val="001C53B1"/>
    <w:rsid w:val="001C6C48"/>
    <w:rsid w:val="001C7D35"/>
    <w:rsid w:val="001D3C91"/>
    <w:rsid w:val="001D7C05"/>
    <w:rsid w:val="001D7F7F"/>
    <w:rsid w:val="001F41F5"/>
    <w:rsid w:val="001F47D4"/>
    <w:rsid w:val="001F5190"/>
    <w:rsid w:val="001F59B1"/>
    <w:rsid w:val="00204E2F"/>
    <w:rsid w:val="00204F2C"/>
    <w:rsid w:val="00207B50"/>
    <w:rsid w:val="002110F7"/>
    <w:rsid w:val="0022395D"/>
    <w:rsid w:val="00225C05"/>
    <w:rsid w:val="00226BD6"/>
    <w:rsid w:val="00233EC4"/>
    <w:rsid w:val="00245BAA"/>
    <w:rsid w:val="00245F93"/>
    <w:rsid w:val="00250619"/>
    <w:rsid w:val="00253779"/>
    <w:rsid w:val="002543E9"/>
    <w:rsid w:val="00255544"/>
    <w:rsid w:val="00255F8A"/>
    <w:rsid w:val="00256BBC"/>
    <w:rsid w:val="0026316A"/>
    <w:rsid w:val="002738E1"/>
    <w:rsid w:val="002812BF"/>
    <w:rsid w:val="0028383B"/>
    <w:rsid w:val="00286959"/>
    <w:rsid w:val="00286E54"/>
    <w:rsid w:val="00293135"/>
    <w:rsid w:val="00296996"/>
    <w:rsid w:val="002A62F9"/>
    <w:rsid w:val="002A734B"/>
    <w:rsid w:val="002A7FCD"/>
    <w:rsid w:val="002B19A0"/>
    <w:rsid w:val="002B4489"/>
    <w:rsid w:val="002B457E"/>
    <w:rsid w:val="002B783B"/>
    <w:rsid w:val="002C1046"/>
    <w:rsid w:val="002C1BA8"/>
    <w:rsid w:val="002C26B2"/>
    <w:rsid w:val="002C6245"/>
    <w:rsid w:val="002C6E71"/>
    <w:rsid w:val="002D6396"/>
    <w:rsid w:val="002E68F4"/>
    <w:rsid w:val="002E783A"/>
    <w:rsid w:val="002F2F8E"/>
    <w:rsid w:val="002F3D8A"/>
    <w:rsid w:val="002F4024"/>
    <w:rsid w:val="002F45C9"/>
    <w:rsid w:val="002F5F63"/>
    <w:rsid w:val="00302ED0"/>
    <w:rsid w:val="00307E7B"/>
    <w:rsid w:val="003105D6"/>
    <w:rsid w:val="00314EED"/>
    <w:rsid w:val="0031542B"/>
    <w:rsid w:val="00326320"/>
    <w:rsid w:val="00331AF5"/>
    <w:rsid w:val="0033242A"/>
    <w:rsid w:val="00332D92"/>
    <w:rsid w:val="0034140F"/>
    <w:rsid w:val="003446C0"/>
    <w:rsid w:val="00352496"/>
    <w:rsid w:val="0035405F"/>
    <w:rsid w:val="003556A4"/>
    <w:rsid w:val="00356EFA"/>
    <w:rsid w:val="003608EF"/>
    <w:rsid w:val="00361254"/>
    <w:rsid w:val="00361721"/>
    <w:rsid w:val="0036268A"/>
    <w:rsid w:val="00365416"/>
    <w:rsid w:val="00371E14"/>
    <w:rsid w:val="00373FDD"/>
    <w:rsid w:val="00381534"/>
    <w:rsid w:val="0038366F"/>
    <w:rsid w:val="003903F9"/>
    <w:rsid w:val="003934D1"/>
    <w:rsid w:val="003942DC"/>
    <w:rsid w:val="00394E96"/>
    <w:rsid w:val="00395A17"/>
    <w:rsid w:val="003A0810"/>
    <w:rsid w:val="003A13FA"/>
    <w:rsid w:val="003B21E0"/>
    <w:rsid w:val="003B3B85"/>
    <w:rsid w:val="003C241B"/>
    <w:rsid w:val="003C3C55"/>
    <w:rsid w:val="003C6418"/>
    <w:rsid w:val="003D199D"/>
    <w:rsid w:val="003E7549"/>
    <w:rsid w:val="003F1ED8"/>
    <w:rsid w:val="003F584B"/>
    <w:rsid w:val="003F730A"/>
    <w:rsid w:val="00401C35"/>
    <w:rsid w:val="00411A0E"/>
    <w:rsid w:val="00422533"/>
    <w:rsid w:val="00432732"/>
    <w:rsid w:val="004335CF"/>
    <w:rsid w:val="00434EDF"/>
    <w:rsid w:val="00437512"/>
    <w:rsid w:val="00440B4A"/>
    <w:rsid w:val="0044420B"/>
    <w:rsid w:val="00457802"/>
    <w:rsid w:val="004659AB"/>
    <w:rsid w:val="00467BB1"/>
    <w:rsid w:val="00472AA4"/>
    <w:rsid w:val="00481DC7"/>
    <w:rsid w:val="0048420B"/>
    <w:rsid w:val="004852FC"/>
    <w:rsid w:val="004871C6"/>
    <w:rsid w:val="004A03D3"/>
    <w:rsid w:val="004A207B"/>
    <w:rsid w:val="004B2854"/>
    <w:rsid w:val="004C1A06"/>
    <w:rsid w:val="004C6125"/>
    <w:rsid w:val="004D702B"/>
    <w:rsid w:val="004E0CF7"/>
    <w:rsid w:val="004F1352"/>
    <w:rsid w:val="004F76B2"/>
    <w:rsid w:val="0050268E"/>
    <w:rsid w:val="00505D23"/>
    <w:rsid w:val="00511606"/>
    <w:rsid w:val="00511DFB"/>
    <w:rsid w:val="00512CE8"/>
    <w:rsid w:val="00517C0B"/>
    <w:rsid w:val="00524BC4"/>
    <w:rsid w:val="00525E80"/>
    <w:rsid w:val="00531085"/>
    <w:rsid w:val="00534372"/>
    <w:rsid w:val="00553EDA"/>
    <w:rsid w:val="00563C1C"/>
    <w:rsid w:val="00565D41"/>
    <w:rsid w:val="0056651F"/>
    <w:rsid w:val="00567AAE"/>
    <w:rsid w:val="00572332"/>
    <w:rsid w:val="005727D1"/>
    <w:rsid w:val="005738E6"/>
    <w:rsid w:val="00575DFC"/>
    <w:rsid w:val="005816D9"/>
    <w:rsid w:val="0058307C"/>
    <w:rsid w:val="00586884"/>
    <w:rsid w:val="005875BD"/>
    <w:rsid w:val="00594DB5"/>
    <w:rsid w:val="005A577A"/>
    <w:rsid w:val="005A7482"/>
    <w:rsid w:val="005C5394"/>
    <w:rsid w:val="005C6557"/>
    <w:rsid w:val="005D60D7"/>
    <w:rsid w:val="005D74CD"/>
    <w:rsid w:val="005E4FB6"/>
    <w:rsid w:val="005E679B"/>
    <w:rsid w:val="005E77A8"/>
    <w:rsid w:val="005E7ADC"/>
    <w:rsid w:val="005F39A2"/>
    <w:rsid w:val="005F496F"/>
    <w:rsid w:val="00604EDC"/>
    <w:rsid w:val="00611B56"/>
    <w:rsid w:val="006123CF"/>
    <w:rsid w:val="00613307"/>
    <w:rsid w:val="00614361"/>
    <w:rsid w:val="0061476F"/>
    <w:rsid w:val="0062671A"/>
    <w:rsid w:val="00634ABE"/>
    <w:rsid w:val="00640123"/>
    <w:rsid w:val="0064314D"/>
    <w:rsid w:val="006471FE"/>
    <w:rsid w:val="00650479"/>
    <w:rsid w:val="006508A3"/>
    <w:rsid w:val="006578C5"/>
    <w:rsid w:val="00662291"/>
    <w:rsid w:val="0066322A"/>
    <w:rsid w:val="00676240"/>
    <w:rsid w:val="00685290"/>
    <w:rsid w:val="00693C80"/>
    <w:rsid w:val="00694ACE"/>
    <w:rsid w:val="006A4B20"/>
    <w:rsid w:val="006A7ADE"/>
    <w:rsid w:val="006B0375"/>
    <w:rsid w:val="006B0E03"/>
    <w:rsid w:val="006B6D50"/>
    <w:rsid w:val="006D2525"/>
    <w:rsid w:val="006D3894"/>
    <w:rsid w:val="006D4AFF"/>
    <w:rsid w:val="006E0C67"/>
    <w:rsid w:val="006E166C"/>
    <w:rsid w:val="006E18F4"/>
    <w:rsid w:val="006E5698"/>
    <w:rsid w:val="006E7A74"/>
    <w:rsid w:val="006F5A86"/>
    <w:rsid w:val="00702466"/>
    <w:rsid w:val="00707F36"/>
    <w:rsid w:val="00711C6A"/>
    <w:rsid w:val="007216B1"/>
    <w:rsid w:val="0072336F"/>
    <w:rsid w:val="007245CF"/>
    <w:rsid w:val="00727784"/>
    <w:rsid w:val="0073051A"/>
    <w:rsid w:val="0073190D"/>
    <w:rsid w:val="007476FB"/>
    <w:rsid w:val="007508D4"/>
    <w:rsid w:val="00762A8D"/>
    <w:rsid w:val="00765730"/>
    <w:rsid w:val="007720D2"/>
    <w:rsid w:val="007810AD"/>
    <w:rsid w:val="00791207"/>
    <w:rsid w:val="007936AC"/>
    <w:rsid w:val="0079740D"/>
    <w:rsid w:val="007978E6"/>
    <w:rsid w:val="007A01EA"/>
    <w:rsid w:val="007A403D"/>
    <w:rsid w:val="007A6D35"/>
    <w:rsid w:val="007A6D9A"/>
    <w:rsid w:val="007B1D3B"/>
    <w:rsid w:val="007B1E5E"/>
    <w:rsid w:val="007B5B87"/>
    <w:rsid w:val="007C0026"/>
    <w:rsid w:val="007C752F"/>
    <w:rsid w:val="007D1B6D"/>
    <w:rsid w:val="007D1E41"/>
    <w:rsid w:val="007E6F92"/>
    <w:rsid w:val="007F2D9E"/>
    <w:rsid w:val="007F43D8"/>
    <w:rsid w:val="007F5FE5"/>
    <w:rsid w:val="0080149C"/>
    <w:rsid w:val="0080183B"/>
    <w:rsid w:val="00802463"/>
    <w:rsid w:val="008027E0"/>
    <w:rsid w:val="0080616B"/>
    <w:rsid w:val="00810906"/>
    <w:rsid w:val="0081703A"/>
    <w:rsid w:val="00822855"/>
    <w:rsid w:val="008233CE"/>
    <w:rsid w:val="008235DC"/>
    <w:rsid w:val="0082383B"/>
    <w:rsid w:val="008251B6"/>
    <w:rsid w:val="008359C6"/>
    <w:rsid w:val="008363F8"/>
    <w:rsid w:val="0084093E"/>
    <w:rsid w:val="008449CD"/>
    <w:rsid w:val="008531A9"/>
    <w:rsid w:val="00856D3C"/>
    <w:rsid w:val="008670AB"/>
    <w:rsid w:val="00867658"/>
    <w:rsid w:val="00872226"/>
    <w:rsid w:val="0088283D"/>
    <w:rsid w:val="00883E3E"/>
    <w:rsid w:val="00886B79"/>
    <w:rsid w:val="00887550"/>
    <w:rsid w:val="008902F6"/>
    <w:rsid w:val="008904D1"/>
    <w:rsid w:val="00892D03"/>
    <w:rsid w:val="008956F3"/>
    <w:rsid w:val="008A11F5"/>
    <w:rsid w:val="008A1215"/>
    <w:rsid w:val="008A18C1"/>
    <w:rsid w:val="008B21A8"/>
    <w:rsid w:val="008B5FD7"/>
    <w:rsid w:val="008B6386"/>
    <w:rsid w:val="008B6682"/>
    <w:rsid w:val="008D194E"/>
    <w:rsid w:val="008D2395"/>
    <w:rsid w:val="008D25C5"/>
    <w:rsid w:val="008D3B8D"/>
    <w:rsid w:val="008E35DB"/>
    <w:rsid w:val="008E7366"/>
    <w:rsid w:val="00905BDF"/>
    <w:rsid w:val="00907763"/>
    <w:rsid w:val="0091624D"/>
    <w:rsid w:val="00921E7C"/>
    <w:rsid w:val="00923558"/>
    <w:rsid w:val="009466B2"/>
    <w:rsid w:val="009469D3"/>
    <w:rsid w:val="00951458"/>
    <w:rsid w:val="00951F50"/>
    <w:rsid w:val="00952893"/>
    <w:rsid w:val="0095547F"/>
    <w:rsid w:val="009578A4"/>
    <w:rsid w:val="009606A9"/>
    <w:rsid w:val="00967116"/>
    <w:rsid w:val="009720B1"/>
    <w:rsid w:val="009A125C"/>
    <w:rsid w:val="009A4FDF"/>
    <w:rsid w:val="009B36EE"/>
    <w:rsid w:val="009B5F38"/>
    <w:rsid w:val="009B6DDA"/>
    <w:rsid w:val="009C0C2A"/>
    <w:rsid w:val="009C54ED"/>
    <w:rsid w:val="009C75BC"/>
    <w:rsid w:val="009C7F75"/>
    <w:rsid w:val="009D2C20"/>
    <w:rsid w:val="009D3844"/>
    <w:rsid w:val="009D4253"/>
    <w:rsid w:val="009E425F"/>
    <w:rsid w:val="009E44DE"/>
    <w:rsid w:val="009E746E"/>
    <w:rsid w:val="009E7D48"/>
    <w:rsid w:val="009F17D3"/>
    <w:rsid w:val="00A00515"/>
    <w:rsid w:val="00A01708"/>
    <w:rsid w:val="00A03484"/>
    <w:rsid w:val="00A073A5"/>
    <w:rsid w:val="00A13F77"/>
    <w:rsid w:val="00A1565E"/>
    <w:rsid w:val="00A22656"/>
    <w:rsid w:val="00A23383"/>
    <w:rsid w:val="00A23E81"/>
    <w:rsid w:val="00A26511"/>
    <w:rsid w:val="00A34A08"/>
    <w:rsid w:val="00A36CAC"/>
    <w:rsid w:val="00A42E37"/>
    <w:rsid w:val="00A43757"/>
    <w:rsid w:val="00A54800"/>
    <w:rsid w:val="00A610DE"/>
    <w:rsid w:val="00A65B8B"/>
    <w:rsid w:val="00A662FC"/>
    <w:rsid w:val="00A670DB"/>
    <w:rsid w:val="00A72CBD"/>
    <w:rsid w:val="00A84D0A"/>
    <w:rsid w:val="00A90BB1"/>
    <w:rsid w:val="00A931F0"/>
    <w:rsid w:val="00A93A2A"/>
    <w:rsid w:val="00A943C8"/>
    <w:rsid w:val="00AB365E"/>
    <w:rsid w:val="00AB5E19"/>
    <w:rsid w:val="00AB68C3"/>
    <w:rsid w:val="00AB6B1D"/>
    <w:rsid w:val="00AC5208"/>
    <w:rsid w:val="00AC5679"/>
    <w:rsid w:val="00AD083E"/>
    <w:rsid w:val="00AD19F7"/>
    <w:rsid w:val="00AD66E4"/>
    <w:rsid w:val="00AE3D29"/>
    <w:rsid w:val="00AE7AE4"/>
    <w:rsid w:val="00AF078C"/>
    <w:rsid w:val="00AF1CEA"/>
    <w:rsid w:val="00AF2DC8"/>
    <w:rsid w:val="00B0724D"/>
    <w:rsid w:val="00B0742D"/>
    <w:rsid w:val="00B12801"/>
    <w:rsid w:val="00B12B5E"/>
    <w:rsid w:val="00B15B4E"/>
    <w:rsid w:val="00B2209A"/>
    <w:rsid w:val="00B23BA6"/>
    <w:rsid w:val="00B315EA"/>
    <w:rsid w:val="00B3402F"/>
    <w:rsid w:val="00B426AC"/>
    <w:rsid w:val="00B45065"/>
    <w:rsid w:val="00B5136D"/>
    <w:rsid w:val="00B62012"/>
    <w:rsid w:val="00B62535"/>
    <w:rsid w:val="00B71503"/>
    <w:rsid w:val="00B72402"/>
    <w:rsid w:val="00B91B33"/>
    <w:rsid w:val="00BA23B4"/>
    <w:rsid w:val="00BA3033"/>
    <w:rsid w:val="00BA57B3"/>
    <w:rsid w:val="00BA65A4"/>
    <w:rsid w:val="00BA70E5"/>
    <w:rsid w:val="00BB130E"/>
    <w:rsid w:val="00BB58BF"/>
    <w:rsid w:val="00BC10BE"/>
    <w:rsid w:val="00BC1805"/>
    <w:rsid w:val="00BC1CD4"/>
    <w:rsid w:val="00BC5473"/>
    <w:rsid w:val="00BD1070"/>
    <w:rsid w:val="00BE2C66"/>
    <w:rsid w:val="00BE521B"/>
    <w:rsid w:val="00BF0032"/>
    <w:rsid w:val="00BF2D5D"/>
    <w:rsid w:val="00BF69DD"/>
    <w:rsid w:val="00C001C0"/>
    <w:rsid w:val="00C13847"/>
    <w:rsid w:val="00C150AE"/>
    <w:rsid w:val="00C16469"/>
    <w:rsid w:val="00C376FF"/>
    <w:rsid w:val="00C41A38"/>
    <w:rsid w:val="00C43587"/>
    <w:rsid w:val="00C65480"/>
    <w:rsid w:val="00C76A9F"/>
    <w:rsid w:val="00C85ADD"/>
    <w:rsid w:val="00C90DE7"/>
    <w:rsid w:val="00C9360D"/>
    <w:rsid w:val="00C93B53"/>
    <w:rsid w:val="00C9785F"/>
    <w:rsid w:val="00CB63ED"/>
    <w:rsid w:val="00CC1929"/>
    <w:rsid w:val="00CC2C16"/>
    <w:rsid w:val="00CD26AF"/>
    <w:rsid w:val="00CD2948"/>
    <w:rsid w:val="00CD3B9E"/>
    <w:rsid w:val="00CD7DD8"/>
    <w:rsid w:val="00CE40B4"/>
    <w:rsid w:val="00CF0610"/>
    <w:rsid w:val="00CF0B81"/>
    <w:rsid w:val="00CF487F"/>
    <w:rsid w:val="00CF683D"/>
    <w:rsid w:val="00D01A89"/>
    <w:rsid w:val="00D044D0"/>
    <w:rsid w:val="00D1002B"/>
    <w:rsid w:val="00D10F21"/>
    <w:rsid w:val="00D13A46"/>
    <w:rsid w:val="00D43162"/>
    <w:rsid w:val="00D53959"/>
    <w:rsid w:val="00D57261"/>
    <w:rsid w:val="00D6605D"/>
    <w:rsid w:val="00D67FAB"/>
    <w:rsid w:val="00D700BB"/>
    <w:rsid w:val="00D722F2"/>
    <w:rsid w:val="00D77521"/>
    <w:rsid w:val="00D80A81"/>
    <w:rsid w:val="00D82E8A"/>
    <w:rsid w:val="00D848FD"/>
    <w:rsid w:val="00DA1864"/>
    <w:rsid w:val="00DA294E"/>
    <w:rsid w:val="00DB128A"/>
    <w:rsid w:val="00DB3BEC"/>
    <w:rsid w:val="00DC18B2"/>
    <w:rsid w:val="00DC278B"/>
    <w:rsid w:val="00DC4818"/>
    <w:rsid w:val="00DD3061"/>
    <w:rsid w:val="00DF02D5"/>
    <w:rsid w:val="00E07D00"/>
    <w:rsid w:val="00E07D1D"/>
    <w:rsid w:val="00E12D94"/>
    <w:rsid w:val="00E20802"/>
    <w:rsid w:val="00E21C8A"/>
    <w:rsid w:val="00E220EB"/>
    <w:rsid w:val="00E3168B"/>
    <w:rsid w:val="00E40E7C"/>
    <w:rsid w:val="00E40F80"/>
    <w:rsid w:val="00E422E7"/>
    <w:rsid w:val="00E45CBF"/>
    <w:rsid w:val="00E51C35"/>
    <w:rsid w:val="00E55536"/>
    <w:rsid w:val="00E81197"/>
    <w:rsid w:val="00E83118"/>
    <w:rsid w:val="00E851BA"/>
    <w:rsid w:val="00E86178"/>
    <w:rsid w:val="00E9668B"/>
    <w:rsid w:val="00EA0E8D"/>
    <w:rsid w:val="00EA177F"/>
    <w:rsid w:val="00EA64C0"/>
    <w:rsid w:val="00EB030F"/>
    <w:rsid w:val="00EB03A8"/>
    <w:rsid w:val="00ED25E8"/>
    <w:rsid w:val="00EF7CEB"/>
    <w:rsid w:val="00F01D67"/>
    <w:rsid w:val="00F11ACC"/>
    <w:rsid w:val="00F21BBD"/>
    <w:rsid w:val="00F2755B"/>
    <w:rsid w:val="00F3063F"/>
    <w:rsid w:val="00F35CAC"/>
    <w:rsid w:val="00F35E77"/>
    <w:rsid w:val="00F42849"/>
    <w:rsid w:val="00F42C15"/>
    <w:rsid w:val="00F447ED"/>
    <w:rsid w:val="00F47B67"/>
    <w:rsid w:val="00F47BE1"/>
    <w:rsid w:val="00F561A0"/>
    <w:rsid w:val="00F623C1"/>
    <w:rsid w:val="00F6277B"/>
    <w:rsid w:val="00F6406B"/>
    <w:rsid w:val="00F8401A"/>
    <w:rsid w:val="00F90B47"/>
    <w:rsid w:val="00F91633"/>
    <w:rsid w:val="00F92650"/>
    <w:rsid w:val="00F93B8B"/>
    <w:rsid w:val="00F97059"/>
    <w:rsid w:val="00FA2BB4"/>
    <w:rsid w:val="00FA6B98"/>
    <w:rsid w:val="00FB3522"/>
    <w:rsid w:val="00FB506C"/>
    <w:rsid w:val="00FB65E5"/>
    <w:rsid w:val="00FC0938"/>
    <w:rsid w:val="00FC733A"/>
    <w:rsid w:val="00FE25B0"/>
    <w:rsid w:val="00FE2F39"/>
    <w:rsid w:val="00FF2454"/>
    <w:rsid w:val="00FF711F"/>
    <w:rsid w:val="00FF79BD"/>
    <w:rsid w:val="0A1246B0"/>
    <w:rsid w:val="0B3F14D4"/>
    <w:rsid w:val="0EA33B28"/>
    <w:rsid w:val="0EFA3365"/>
    <w:rsid w:val="104F7772"/>
    <w:rsid w:val="17CE4D52"/>
    <w:rsid w:val="1B641070"/>
    <w:rsid w:val="21FD6B34"/>
    <w:rsid w:val="229D0946"/>
    <w:rsid w:val="26567D5F"/>
    <w:rsid w:val="2BF81500"/>
    <w:rsid w:val="2E642E7C"/>
    <w:rsid w:val="2F033F15"/>
    <w:rsid w:val="312430A9"/>
    <w:rsid w:val="319E0453"/>
    <w:rsid w:val="356D0135"/>
    <w:rsid w:val="3579545F"/>
    <w:rsid w:val="3EA23AC2"/>
    <w:rsid w:val="41B97839"/>
    <w:rsid w:val="42580BCF"/>
    <w:rsid w:val="43251412"/>
    <w:rsid w:val="44185A14"/>
    <w:rsid w:val="46DD15FD"/>
    <w:rsid w:val="473D6778"/>
    <w:rsid w:val="48623B31"/>
    <w:rsid w:val="4DF86CCA"/>
    <w:rsid w:val="50F43794"/>
    <w:rsid w:val="51F77D5D"/>
    <w:rsid w:val="52996E86"/>
    <w:rsid w:val="57723665"/>
    <w:rsid w:val="591D53F4"/>
    <w:rsid w:val="5B7619ED"/>
    <w:rsid w:val="5C1169E4"/>
    <w:rsid w:val="5C8005D2"/>
    <w:rsid w:val="5D600B2F"/>
    <w:rsid w:val="60356884"/>
    <w:rsid w:val="62EE40D6"/>
    <w:rsid w:val="631E5B99"/>
    <w:rsid w:val="65BD63F3"/>
    <w:rsid w:val="67DA3E2F"/>
    <w:rsid w:val="6C16685D"/>
    <w:rsid w:val="730F68EF"/>
    <w:rsid w:val="73486CB1"/>
    <w:rsid w:val="735F75A6"/>
    <w:rsid w:val="75703482"/>
    <w:rsid w:val="76606380"/>
    <w:rsid w:val="77AA4606"/>
    <w:rsid w:val="77CD5B00"/>
    <w:rsid w:val="79144124"/>
    <w:rsid w:val="79674B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6"/>
    <w:basedOn w:val="1"/>
    <w:next w:val="1"/>
    <w:link w:val="26"/>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41"/>
    <w:qFormat/>
    <w:uiPriority w:val="0"/>
    <w:pPr>
      <w:spacing w:after="120"/>
      <w:ind w:left="420" w:leftChars="200" w:firstLine="420" w:firstLineChars="200"/>
    </w:pPr>
    <w:rPr>
      <w:rFonts w:ascii="Calibri" w:hAnsi="Calibri" w:eastAsia="宋体" w:cs="Calibri"/>
      <w:sz w:val="21"/>
      <w:szCs w:val="24"/>
    </w:rPr>
  </w:style>
  <w:style w:type="paragraph" w:styleId="3">
    <w:name w:val="Body Text Indent"/>
    <w:basedOn w:val="1"/>
    <w:next w:val="2"/>
    <w:link w:val="31"/>
    <w:qFormat/>
    <w:uiPriority w:val="0"/>
    <w:pPr>
      <w:ind w:firstLine="830" w:firstLineChars="352"/>
    </w:pPr>
    <w:rPr>
      <w:rFonts w:ascii="仿宋_GB2312" w:eastAsia="仿宋_GB2312"/>
      <w:sz w:val="32"/>
    </w:rPr>
  </w:style>
  <w:style w:type="paragraph" w:styleId="7">
    <w:name w:val="annotation text"/>
    <w:basedOn w:val="1"/>
    <w:link w:val="28"/>
    <w:semiHidden/>
    <w:unhideWhenUsed/>
    <w:qFormat/>
    <w:uiPriority w:val="99"/>
    <w:pPr>
      <w:jc w:val="left"/>
    </w:pPr>
  </w:style>
  <w:style w:type="paragraph" w:styleId="8">
    <w:name w:val="Body Text"/>
    <w:basedOn w:val="1"/>
    <w:link w:val="37"/>
    <w:semiHidden/>
    <w:unhideWhenUsed/>
    <w:qFormat/>
    <w:uiPriority w:val="99"/>
    <w:pPr>
      <w:spacing w:after="120"/>
    </w:pPr>
  </w:style>
  <w:style w:type="paragraph" w:styleId="9">
    <w:name w:val="Plain Text"/>
    <w:basedOn w:val="1"/>
    <w:link w:val="32"/>
    <w:qFormat/>
    <w:uiPriority w:val="0"/>
    <w:rPr>
      <w:rFonts w:ascii="宋体" w:hAnsi="Courier New" w:eastAsia="宋体" w:cs="Courier New"/>
      <w:szCs w:val="21"/>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before="154"/>
      <w:ind w:left="6"/>
    </w:pPr>
    <w:rPr>
      <w:rFonts w:ascii="宋体" w:hAnsi="宋体" w:eastAsia="宋体"/>
      <w:sz w:val="24"/>
      <w:szCs w:val="24"/>
    </w:rPr>
  </w:style>
  <w:style w:type="paragraph" w:styleId="1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7"/>
    <w:next w:val="7"/>
    <w:link w:val="29"/>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标题 1 Char"/>
    <w:basedOn w:val="18"/>
    <w:link w:val="4"/>
    <w:qFormat/>
    <w:uiPriority w:val="9"/>
    <w:rPr>
      <w:rFonts w:ascii="宋体" w:hAnsi="宋体" w:eastAsia="宋体" w:cs="宋体"/>
      <w:b/>
      <w:bCs/>
      <w:kern w:val="36"/>
      <w:sz w:val="48"/>
      <w:szCs w:val="48"/>
    </w:rPr>
  </w:style>
  <w:style w:type="character" w:customStyle="1" w:styleId="23">
    <w:name w:val="标题 2 Char"/>
    <w:basedOn w:val="18"/>
    <w:link w:val="5"/>
    <w:semiHidden/>
    <w:qFormat/>
    <w:uiPriority w:val="9"/>
    <w:rPr>
      <w:rFonts w:asciiTheme="majorHAnsi" w:hAnsiTheme="majorHAnsi" w:eastAsiaTheme="majorEastAsia" w:cstheme="majorBidi"/>
      <w:b/>
      <w:bCs/>
      <w:sz w:val="32"/>
      <w:szCs w:val="32"/>
    </w:rPr>
  </w:style>
  <w:style w:type="character" w:customStyle="1" w:styleId="24">
    <w:name w:val="页眉 Char"/>
    <w:basedOn w:val="18"/>
    <w:link w:val="12"/>
    <w:qFormat/>
    <w:uiPriority w:val="99"/>
    <w:rPr>
      <w:sz w:val="18"/>
      <w:szCs w:val="18"/>
    </w:rPr>
  </w:style>
  <w:style w:type="character" w:customStyle="1" w:styleId="25">
    <w:name w:val="页脚 Char"/>
    <w:basedOn w:val="18"/>
    <w:link w:val="11"/>
    <w:qFormat/>
    <w:uiPriority w:val="99"/>
    <w:rPr>
      <w:sz w:val="18"/>
      <w:szCs w:val="18"/>
    </w:rPr>
  </w:style>
  <w:style w:type="character" w:customStyle="1" w:styleId="26">
    <w:name w:val="标题 6 Char"/>
    <w:basedOn w:val="18"/>
    <w:link w:val="6"/>
    <w:qFormat/>
    <w:uiPriority w:val="9"/>
    <w:rPr>
      <w:rFonts w:ascii="宋体" w:hAnsi="宋体" w:eastAsia="宋体" w:cs="宋体"/>
      <w:b/>
      <w:bCs/>
      <w:kern w:val="0"/>
      <w:sz w:val="15"/>
      <w:szCs w:val="15"/>
    </w:rPr>
  </w:style>
  <w:style w:type="character" w:customStyle="1" w:styleId="27">
    <w:name w:val="wp_visitcount"/>
    <w:basedOn w:val="18"/>
    <w:qFormat/>
    <w:uiPriority w:val="0"/>
  </w:style>
  <w:style w:type="character" w:customStyle="1" w:styleId="28">
    <w:name w:val="批注文字 Char"/>
    <w:basedOn w:val="18"/>
    <w:link w:val="7"/>
    <w:semiHidden/>
    <w:qFormat/>
    <w:uiPriority w:val="99"/>
  </w:style>
  <w:style w:type="character" w:customStyle="1" w:styleId="29">
    <w:name w:val="批注主题 Char"/>
    <w:basedOn w:val="28"/>
    <w:link w:val="15"/>
    <w:semiHidden/>
    <w:qFormat/>
    <w:uiPriority w:val="99"/>
    <w:rPr>
      <w:b/>
      <w:bCs/>
    </w:rPr>
  </w:style>
  <w:style w:type="character" w:customStyle="1" w:styleId="30">
    <w:name w:val="批注框文本 Char"/>
    <w:basedOn w:val="18"/>
    <w:link w:val="10"/>
    <w:semiHidden/>
    <w:qFormat/>
    <w:uiPriority w:val="99"/>
    <w:rPr>
      <w:sz w:val="18"/>
      <w:szCs w:val="18"/>
    </w:rPr>
  </w:style>
  <w:style w:type="character" w:customStyle="1" w:styleId="31">
    <w:name w:val="正文文本缩进 Char1"/>
    <w:link w:val="3"/>
    <w:qFormat/>
    <w:uiPriority w:val="0"/>
    <w:rPr>
      <w:rFonts w:ascii="仿宋_GB2312" w:eastAsia="仿宋_GB2312"/>
      <w:sz w:val="32"/>
    </w:rPr>
  </w:style>
  <w:style w:type="character" w:customStyle="1" w:styleId="32">
    <w:name w:val="纯文本 Char"/>
    <w:link w:val="9"/>
    <w:qFormat/>
    <w:uiPriority w:val="0"/>
    <w:rPr>
      <w:rFonts w:ascii="宋体" w:hAnsi="Courier New" w:eastAsia="宋体" w:cs="Courier New"/>
      <w:szCs w:val="21"/>
    </w:rPr>
  </w:style>
  <w:style w:type="character" w:customStyle="1" w:styleId="33">
    <w:name w:val="正文文本缩进 Char"/>
    <w:basedOn w:val="18"/>
    <w:semiHidden/>
    <w:qFormat/>
    <w:uiPriority w:val="99"/>
  </w:style>
  <w:style w:type="character" w:customStyle="1" w:styleId="34">
    <w:name w:val="纯文本 Char1"/>
    <w:basedOn w:val="18"/>
    <w:semiHidden/>
    <w:qFormat/>
    <w:uiPriority w:val="99"/>
    <w:rPr>
      <w:rFonts w:ascii="宋体" w:hAnsi="Courier New" w:eastAsia="宋体" w:cs="Courier New"/>
      <w:szCs w:val="21"/>
    </w:rPr>
  </w:style>
  <w:style w:type="paragraph" w:customStyle="1" w:styleId="35">
    <w:name w:val="表格文字"/>
    <w:basedOn w:val="1"/>
    <w:next w:val="1"/>
    <w:qFormat/>
    <w:uiPriority w:val="0"/>
    <w:pPr>
      <w:jc w:val="left"/>
    </w:pPr>
    <w:rPr>
      <w:rFonts w:ascii="宋体" w:hAnsi="宋体" w:eastAsia="宋体" w:cs="宋体"/>
      <w:kern w:val="0"/>
      <w:sz w:val="24"/>
      <w:szCs w:val="20"/>
    </w:rPr>
  </w:style>
  <w:style w:type="paragraph" w:styleId="36">
    <w:name w:val="List Paragraph"/>
    <w:basedOn w:val="1"/>
    <w:qFormat/>
    <w:uiPriority w:val="0"/>
    <w:pPr>
      <w:spacing w:line="360" w:lineRule="auto"/>
      <w:ind w:firstLine="420" w:firstLineChars="200"/>
      <w:jc w:val="left"/>
    </w:pPr>
    <w:rPr>
      <w:rFonts w:ascii="宋体" w:hAnsi="宋体" w:eastAsia="宋体" w:cs="宋体"/>
      <w:kern w:val="0"/>
      <w:sz w:val="24"/>
      <w:szCs w:val="20"/>
    </w:rPr>
  </w:style>
  <w:style w:type="character" w:customStyle="1" w:styleId="37">
    <w:name w:val="正文文本 Char"/>
    <w:basedOn w:val="18"/>
    <w:link w:val="8"/>
    <w:semiHidden/>
    <w:qFormat/>
    <w:uiPriority w:val="99"/>
    <w:rPr>
      <w:kern w:val="2"/>
      <w:sz w:val="21"/>
      <w:szCs w:val="22"/>
    </w:rPr>
  </w:style>
  <w:style w:type="paragraph" w:customStyle="1" w:styleId="38">
    <w:name w:val="Table Paragraph"/>
    <w:basedOn w:val="1"/>
    <w:qFormat/>
    <w:uiPriority w:val="1"/>
    <w:pPr>
      <w:jc w:val="left"/>
    </w:pPr>
    <w:rPr>
      <w:rFonts w:ascii="Calibri" w:hAnsi="Calibri" w:eastAsia="宋体" w:cs="Times New Roman"/>
      <w:kern w:val="0"/>
      <w:sz w:val="22"/>
      <w:lang w:eastAsia="en-US"/>
    </w:rPr>
  </w:style>
  <w:style w:type="table" w:customStyle="1" w:styleId="39">
    <w:name w:val="Table Normal"/>
    <w:semiHidden/>
    <w:unhideWhenUsed/>
    <w:qFormat/>
    <w:uiPriority w:val="2"/>
    <w:tblPr>
      <w:tblCellMar>
        <w:top w:w="0" w:type="dxa"/>
        <w:left w:w="0" w:type="dxa"/>
        <w:bottom w:w="0" w:type="dxa"/>
        <w:right w:w="0" w:type="dxa"/>
      </w:tblCellMar>
    </w:tblPr>
  </w:style>
  <w:style w:type="paragraph" w:customStyle="1" w:styleId="4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1">
    <w:name w:val="正文首行缩进 2 Char"/>
    <w:basedOn w:val="31"/>
    <w:link w:val="2"/>
    <w:uiPriority w:val="0"/>
    <w:rPr>
      <w:rFonts w:ascii="Calibri" w:hAnsi="Calibri" w:eastAsia="宋体" w:cs="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86AEC3-2B64-44A3-9524-47A968FC20F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5294</Words>
  <Characters>5970</Characters>
  <Lines>50</Lines>
  <Paragraphs>14</Paragraphs>
  <TotalTime>69</TotalTime>
  <ScaleCrop>false</ScaleCrop>
  <LinksUpToDate>false</LinksUpToDate>
  <CharactersWithSpaces>6118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2022-04-25T02:08:00Z</dcterms:created>
  <dc:creator>ASUS</dc:creator>
  <cp:lastModifiedBy>冲，俊！</cp:lastModifiedBy>
  <cp:lastPrinted>2022-07-26T01:12:30Z</cp:lastPrinted>
  <dcterms:modified xsi:type="dcterms:W3CDTF">2022-07-26T02:05:56Z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0B53CE6FD0BE45E48B3C23A5570C46F5</vt:lpwstr>
  </property>
</Properties>
</file>