
<file path=[Content_Types].xml><?xml version="1.0" encoding="utf-8"?>
<Types xmlns="http://schemas.openxmlformats.org/package/2006/content-types">
  <Default Extension="xml" ContentType="application/xml"/>
  <Default Extension="bin" ContentType="application/vnd.openxmlformats-officedocument.oleObject"/>
  <Default Extension="bmp" ContentType="image/bmp"/>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40" w:lineRule="atLeast"/>
        <w:jc w:val="center"/>
        <w:rPr>
          <w:rFonts w:ascii="宋体" w:hAnsi="宋体" w:eastAsia="宋体" w:cs="宋体"/>
          <w:b/>
          <w:bCs/>
          <w:kern w:val="0"/>
          <w:sz w:val="32"/>
          <w:szCs w:val="32"/>
        </w:rPr>
      </w:pPr>
      <w:r>
        <w:rPr>
          <w:rFonts w:hint="eastAsia" w:ascii="宋体" w:hAnsi="宋体" w:eastAsia="宋体" w:cs="宋体"/>
          <w:b/>
          <w:bCs/>
          <w:kern w:val="0"/>
          <w:sz w:val="32"/>
          <w:szCs w:val="32"/>
        </w:rPr>
        <w:t>大泉路快速化改造工程</w:t>
      </w:r>
      <w:r>
        <w:rPr>
          <w:rFonts w:hint="eastAsia" w:ascii="宋体" w:hAnsi="宋体" w:eastAsia="宋体" w:cs="宋体"/>
          <w:b/>
          <w:bCs/>
          <w:kern w:val="0"/>
          <w:sz w:val="32"/>
          <w:szCs w:val="32"/>
          <w:lang w:val="en-US" w:eastAsia="zh-CN"/>
        </w:rPr>
        <w:t>测量</w:t>
      </w:r>
      <w:r>
        <w:rPr>
          <w:rFonts w:hint="eastAsia" w:ascii="宋体" w:hAnsi="宋体" w:eastAsia="宋体" w:cs="宋体"/>
          <w:b/>
          <w:bCs/>
          <w:kern w:val="0"/>
          <w:sz w:val="32"/>
          <w:szCs w:val="32"/>
        </w:rPr>
        <w:t xml:space="preserve">项目遴选公告 </w:t>
      </w:r>
    </w:p>
    <w:p>
      <w:pPr>
        <w:widowControl/>
        <w:spacing w:line="440" w:lineRule="atLeast"/>
        <w:jc w:val="center"/>
        <w:rPr>
          <w:rFonts w:ascii="宋体" w:hAnsi="宋体" w:eastAsia="宋体" w:cs="宋体"/>
          <w:b/>
          <w:bCs/>
          <w:kern w:val="0"/>
          <w:szCs w:val="21"/>
        </w:rPr>
      </w:pPr>
    </w:p>
    <w:p>
      <w:pPr>
        <w:widowControl/>
        <w:shd w:val="clear" w:color="auto" w:fill="FFFFFF"/>
        <w:spacing w:line="360" w:lineRule="auto"/>
        <w:ind w:firstLine="480" w:firstLineChars="200"/>
        <w:rPr>
          <w:rFonts w:ascii="宋体" w:hAnsi="宋体" w:cs="宋体"/>
          <w:kern w:val="0"/>
          <w:sz w:val="24"/>
          <w:szCs w:val="24"/>
        </w:rPr>
      </w:pPr>
      <w:r>
        <w:rPr>
          <w:rFonts w:hint="eastAsia" w:ascii="宋体" w:hAnsi="宋体" w:cs="宋体"/>
          <w:kern w:val="0"/>
          <w:sz w:val="24"/>
          <w:szCs w:val="24"/>
        </w:rPr>
        <w:t>黄石城发工程咨询有限公司受黄石市城市建设投资开发有限责任公司的委托，拟就大泉路快速化改造工程</w:t>
      </w:r>
      <w:r>
        <w:rPr>
          <w:rFonts w:hint="eastAsia" w:ascii="宋体" w:hAnsi="宋体" w:cs="宋体"/>
          <w:kern w:val="0"/>
          <w:sz w:val="24"/>
          <w:szCs w:val="24"/>
          <w:lang w:val="en-US" w:eastAsia="zh-CN"/>
        </w:rPr>
        <w:t>测量</w:t>
      </w:r>
      <w:r>
        <w:rPr>
          <w:rFonts w:hint="eastAsia" w:ascii="宋体" w:hAnsi="宋体" w:cs="宋体"/>
          <w:kern w:val="0"/>
          <w:sz w:val="24"/>
          <w:szCs w:val="24"/>
        </w:rPr>
        <w:t xml:space="preserve">项目以集团平台公开遴选方式选取实施人。 </w:t>
      </w:r>
    </w:p>
    <w:p>
      <w:pPr>
        <w:widowControl/>
        <w:numPr>
          <w:ilvl w:val="0"/>
          <w:numId w:val="0"/>
        </w:numPr>
        <w:shd w:val="clear" w:color="auto" w:fill="FFFFFF"/>
        <w:spacing w:line="360" w:lineRule="auto"/>
        <w:ind w:firstLine="480" w:firstLineChars="200"/>
        <w:rPr>
          <w:sz w:val="24"/>
          <w:szCs w:val="28"/>
        </w:rPr>
      </w:pPr>
      <w:r>
        <w:rPr>
          <w:rFonts w:hint="eastAsia" w:ascii="宋体" w:hAnsi="宋体" w:cs="宋体"/>
          <w:kern w:val="0"/>
          <w:sz w:val="24"/>
          <w:szCs w:val="24"/>
          <w:lang w:val="en-US" w:eastAsia="zh-CN"/>
        </w:rPr>
        <w:t>一、</w:t>
      </w:r>
      <w:r>
        <w:rPr>
          <w:rFonts w:hint="eastAsia" w:ascii="宋体" w:hAnsi="宋体" w:cs="宋体"/>
          <w:kern w:val="0"/>
          <w:sz w:val="24"/>
          <w:szCs w:val="24"/>
        </w:rPr>
        <w:t>项目名称：大泉路快速化改造工程</w:t>
      </w:r>
      <w:r>
        <w:rPr>
          <w:rFonts w:hint="eastAsia" w:ascii="宋体" w:hAnsi="宋体" w:cs="宋体"/>
          <w:kern w:val="0"/>
          <w:sz w:val="24"/>
          <w:szCs w:val="24"/>
          <w:lang w:val="en-US" w:eastAsia="zh-CN"/>
        </w:rPr>
        <w:t>测量</w:t>
      </w:r>
      <w:r>
        <w:rPr>
          <w:rFonts w:hint="eastAsia" w:ascii="宋体" w:hAnsi="宋体" w:cs="宋体"/>
          <w:kern w:val="0"/>
          <w:sz w:val="24"/>
          <w:szCs w:val="24"/>
        </w:rPr>
        <w:t>项目</w:t>
      </w:r>
    </w:p>
    <w:p>
      <w:pPr>
        <w:widowControl/>
        <w:numPr>
          <w:ilvl w:val="0"/>
          <w:numId w:val="0"/>
        </w:numPr>
        <w:shd w:val="clear" w:color="auto" w:fill="FFFFFF"/>
        <w:spacing w:line="360" w:lineRule="auto"/>
        <w:ind w:firstLine="480" w:firstLineChars="200"/>
        <w:rPr>
          <w:rFonts w:hint="default" w:ascii="宋体" w:hAnsi="宋体" w:cs="宋体"/>
          <w:kern w:val="0"/>
          <w:sz w:val="24"/>
          <w:szCs w:val="24"/>
          <w:lang w:val="en-US" w:eastAsia="zh-CN"/>
        </w:rPr>
      </w:pPr>
      <w:r>
        <w:rPr>
          <w:rFonts w:hint="eastAsia" w:ascii="宋体" w:hAnsi="宋体" w:cs="宋体"/>
          <w:kern w:val="0"/>
          <w:sz w:val="24"/>
          <w:szCs w:val="24"/>
          <w:lang w:val="en-US" w:eastAsia="zh-CN"/>
        </w:rPr>
        <w:t>二、项目编号：CFGCZX2022-128</w:t>
      </w:r>
    </w:p>
    <w:p>
      <w:pPr>
        <w:widowControl/>
        <w:shd w:val="clear" w:color="auto" w:fill="FFFFFF"/>
        <w:spacing w:line="360" w:lineRule="auto"/>
        <w:ind w:firstLine="480" w:firstLineChars="200"/>
        <w:rPr>
          <w:rFonts w:ascii="宋体" w:hAnsi="宋体" w:cs="宋体"/>
          <w:kern w:val="0"/>
          <w:sz w:val="24"/>
          <w:szCs w:val="24"/>
        </w:rPr>
      </w:pPr>
      <w:r>
        <w:rPr>
          <w:rFonts w:hint="eastAsia" w:ascii="宋体" w:hAnsi="宋体" w:cs="宋体"/>
          <w:kern w:val="0"/>
          <w:sz w:val="24"/>
          <w:szCs w:val="24"/>
          <w:lang w:val="en-US" w:eastAsia="zh-CN"/>
        </w:rPr>
        <w:t>三</w:t>
      </w:r>
      <w:r>
        <w:rPr>
          <w:rFonts w:hint="eastAsia" w:ascii="宋体" w:hAnsi="宋体" w:cs="宋体"/>
          <w:kern w:val="0"/>
          <w:sz w:val="24"/>
          <w:szCs w:val="24"/>
        </w:rPr>
        <w:t>、项目概况：</w:t>
      </w:r>
    </w:p>
    <w:p>
      <w:pPr>
        <w:widowControl/>
        <w:shd w:val="clear" w:color="auto" w:fill="FFFFFF"/>
        <w:spacing w:line="360" w:lineRule="auto"/>
        <w:ind w:firstLine="480" w:firstLineChars="200"/>
        <w:rPr>
          <w:rFonts w:ascii="宋体" w:hAnsi="宋体" w:cs="宋体"/>
          <w:kern w:val="0"/>
          <w:sz w:val="24"/>
          <w:szCs w:val="24"/>
        </w:rPr>
      </w:pPr>
      <w:r>
        <w:rPr>
          <w:rFonts w:hint="eastAsia" w:ascii="宋体" w:hAnsi="宋体" w:cs="宋体"/>
          <w:kern w:val="0"/>
          <w:sz w:val="24"/>
          <w:szCs w:val="24"/>
        </w:rPr>
        <w:t>1、</w:t>
      </w:r>
      <w:r>
        <w:rPr>
          <w:rFonts w:hint="eastAsia" w:ascii="宋体" w:hAnsi="宋体" w:cs="宋体"/>
          <w:kern w:val="0"/>
          <w:sz w:val="24"/>
          <w:szCs w:val="24"/>
          <w:highlight w:val="yellow"/>
        </w:rPr>
        <w:t>控制价金额为</w:t>
      </w:r>
      <w:r>
        <w:rPr>
          <w:rFonts w:hint="eastAsia" w:ascii="宋体" w:hAnsi="宋体" w:cs="宋体"/>
          <w:kern w:val="0"/>
          <w:sz w:val="24"/>
          <w:szCs w:val="24"/>
          <w:highlight w:val="yellow"/>
          <w:lang w:val="en-US" w:eastAsia="zh-CN"/>
        </w:rPr>
        <w:t>20</w:t>
      </w:r>
      <w:r>
        <w:rPr>
          <w:rFonts w:hint="eastAsia" w:ascii="宋体" w:hAnsi="宋体" w:cs="宋体"/>
          <w:kern w:val="0"/>
          <w:sz w:val="24"/>
          <w:szCs w:val="24"/>
          <w:highlight w:val="yellow"/>
        </w:rPr>
        <w:t>万元</w:t>
      </w:r>
      <w:r>
        <w:rPr>
          <w:rFonts w:hint="eastAsia" w:ascii="宋体" w:hAnsi="宋体" w:cs="宋体"/>
          <w:kern w:val="0"/>
          <w:sz w:val="24"/>
          <w:szCs w:val="24"/>
        </w:rPr>
        <w:t>。</w:t>
      </w:r>
    </w:p>
    <w:p>
      <w:pPr>
        <w:widowControl/>
        <w:shd w:val="clear" w:color="auto" w:fill="FFFFFF"/>
        <w:spacing w:line="360" w:lineRule="auto"/>
        <w:ind w:firstLine="480" w:firstLineChars="200"/>
        <w:rPr>
          <w:rFonts w:hint="eastAsia"/>
          <w:lang w:eastAsia="zh-CN"/>
        </w:rPr>
      </w:pPr>
      <w:r>
        <w:rPr>
          <w:rFonts w:hint="eastAsia" w:ascii="宋体" w:hAnsi="宋体" w:cs="宋体"/>
          <w:kern w:val="0"/>
          <w:sz w:val="24"/>
          <w:szCs w:val="24"/>
        </w:rPr>
        <w:t>2、遴选范围：</w:t>
      </w:r>
      <w:r>
        <w:rPr>
          <w:rFonts w:hint="eastAsia" w:ascii="宋体" w:hAnsi="宋体" w:cs="宋体"/>
          <w:kern w:val="0"/>
          <w:sz w:val="24"/>
          <w:szCs w:val="24"/>
          <w:lang w:val="en-US" w:eastAsia="zh-CN"/>
        </w:rPr>
        <w:t>完成本项目</w:t>
      </w:r>
      <w:bookmarkStart w:id="0" w:name="_Toc303891346"/>
      <w:r>
        <w:rPr>
          <w:rFonts w:hint="eastAsia" w:ascii="宋体" w:hAnsi="宋体" w:cs="宋体"/>
          <w:kern w:val="0"/>
          <w:sz w:val="24"/>
          <w:szCs w:val="24"/>
          <w:lang w:val="en-US" w:eastAsia="zh-CN"/>
        </w:rPr>
        <w:t>工程测量面积约为195.41万㎡的实地放线</w:t>
      </w:r>
      <w:bookmarkEnd w:id="0"/>
      <w:bookmarkStart w:id="1" w:name="_Toc303891347"/>
      <w:r>
        <w:rPr>
          <w:rFonts w:hint="eastAsia" w:ascii="宋体" w:hAnsi="宋体" w:cs="宋体"/>
          <w:kern w:val="0"/>
          <w:sz w:val="24"/>
          <w:szCs w:val="24"/>
          <w:lang w:val="en-US" w:eastAsia="zh-CN"/>
        </w:rPr>
        <w:t>、中桩测量</w:t>
      </w:r>
      <w:bookmarkEnd w:id="1"/>
      <w:r>
        <w:rPr>
          <w:rFonts w:hint="eastAsia" w:ascii="宋体" w:hAnsi="宋体" w:cs="宋体"/>
          <w:kern w:val="0"/>
          <w:sz w:val="24"/>
          <w:szCs w:val="24"/>
          <w:lang w:val="en-US" w:eastAsia="zh-CN"/>
        </w:rPr>
        <w:t>、</w:t>
      </w:r>
      <w:bookmarkStart w:id="2" w:name="_Toc303891348"/>
      <w:r>
        <w:rPr>
          <w:rFonts w:hint="eastAsia" w:ascii="宋体" w:hAnsi="宋体" w:cs="宋体"/>
          <w:kern w:val="0"/>
          <w:sz w:val="24"/>
          <w:szCs w:val="24"/>
          <w:lang w:val="en-US" w:eastAsia="zh-CN"/>
        </w:rPr>
        <w:t>高程测量</w:t>
      </w:r>
      <w:bookmarkEnd w:id="2"/>
      <w:r>
        <w:rPr>
          <w:rFonts w:hint="eastAsia" w:ascii="宋体" w:hAnsi="宋体" w:cs="宋体"/>
          <w:kern w:val="0"/>
          <w:sz w:val="24"/>
          <w:szCs w:val="24"/>
          <w:lang w:val="en-US" w:eastAsia="zh-CN"/>
        </w:rPr>
        <w:t>、排水及改移测量、</w:t>
      </w:r>
      <w:bookmarkStart w:id="3" w:name="_Toc303891351"/>
      <w:r>
        <w:rPr>
          <w:rFonts w:hint="eastAsia" w:ascii="宋体" w:hAnsi="宋体" w:cs="宋体"/>
          <w:kern w:val="0"/>
          <w:sz w:val="24"/>
          <w:szCs w:val="24"/>
          <w:lang w:val="en-US" w:eastAsia="zh-CN"/>
        </w:rPr>
        <w:t>桥涵测量</w:t>
      </w:r>
      <w:bookmarkEnd w:id="3"/>
      <w:r>
        <w:rPr>
          <w:rFonts w:hint="eastAsia" w:ascii="宋体" w:hAnsi="宋体" w:cs="宋体"/>
          <w:kern w:val="0"/>
          <w:sz w:val="24"/>
          <w:szCs w:val="24"/>
          <w:lang w:val="en-US" w:eastAsia="zh-CN"/>
        </w:rPr>
        <w:t>、</w:t>
      </w:r>
      <w:bookmarkStart w:id="4" w:name="_Toc303891352"/>
      <w:r>
        <w:rPr>
          <w:rFonts w:hint="eastAsia" w:ascii="宋体" w:hAnsi="宋体" w:cs="宋体"/>
          <w:kern w:val="0"/>
          <w:sz w:val="24"/>
          <w:szCs w:val="24"/>
          <w:lang w:val="en-US" w:eastAsia="zh-CN"/>
        </w:rPr>
        <w:t>路线交叉测量</w:t>
      </w:r>
      <w:bookmarkEnd w:id="4"/>
      <w:r>
        <w:rPr>
          <w:rFonts w:hint="eastAsia" w:ascii="宋体" w:hAnsi="宋体" w:cs="宋体"/>
          <w:kern w:val="0"/>
          <w:sz w:val="24"/>
          <w:szCs w:val="24"/>
          <w:lang w:val="en-US" w:eastAsia="zh-CN"/>
        </w:rPr>
        <w:t>以及其他相关工作,详细内容见测量任务书及图纸；</w:t>
      </w:r>
    </w:p>
    <w:p>
      <w:pPr>
        <w:widowControl/>
        <w:shd w:val="clear" w:color="auto" w:fill="FFFFFF"/>
        <w:spacing w:line="360" w:lineRule="auto"/>
        <w:ind w:firstLine="480" w:firstLineChars="200"/>
        <w:rPr>
          <w:rFonts w:ascii="宋体" w:hAnsi="宋体" w:cs="宋体"/>
          <w:kern w:val="0"/>
          <w:sz w:val="24"/>
          <w:szCs w:val="24"/>
        </w:rPr>
      </w:pPr>
      <w:r>
        <w:rPr>
          <w:rFonts w:hint="eastAsia" w:ascii="宋体" w:hAnsi="宋体" w:cs="宋体"/>
          <w:kern w:val="0"/>
          <w:sz w:val="24"/>
          <w:szCs w:val="24"/>
        </w:rPr>
        <w:t>3、工期：</w:t>
      </w:r>
      <w:r>
        <w:rPr>
          <w:rFonts w:hint="eastAsia" w:ascii="宋体" w:hAnsi="宋体" w:cs="宋体"/>
          <w:kern w:val="0"/>
          <w:sz w:val="24"/>
          <w:szCs w:val="24"/>
          <w:lang w:val="en-US" w:eastAsia="zh-CN"/>
        </w:rPr>
        <w:t>30</w:t>
      </w:r>
      <w:r>
        <w:rPr>
          <w:rFonts w:hint="eastAsia" w:ascii="宋体" w:hAnsi="宋体" w:cs="宋体"/>
          <w:kern w:val="0"/>
          <w:sz w:val="24"/>
          <w:szCs w:val="24"/>
        </w:rPr>
        <w:t>天</w:t>
      </w:r>
      <w:r>
        <w:rPr>
          <w:rFonts w:ascii="宋体" w:hAnsi="宋体" w:cs="宋体"/>
          <w:kern w:val="0"/>
          <w:sz w:val="24"/>
          <w:szCs w:val="24"/>
        </w:rPr>
        <w:t>。</w:t>
      </w:r>
    </w:p>
    <w:p>
      <w:pPr>
        <w:widowControl/>
        <w:shd w:val="clear" w:color="auto" w:fill="FFFFFF"/>
        <w:spacing w:line="360" w:lineRule="auto"/>
        <w:ind w:firstLine="480" w:firstLineChars="200"/>
        <w:rPr>
          <w:rFonts w:ascii="宋体" w:hAnsi="宋体" w:cs="宋体"/>
          <w:kern w:val="0"/>
          <w:sz w:val="24"/>
          <w:szCs w:val="24"/>
        </w:rPr>
      </w:pPr>
      <w:r>
        <w:rPr>
          <w:rFonts w:hint="eastAsia" w:ascii="宋体" w:hAnsi="宋体" w:cs="宋体"/>
          <w:kern w:val="0"/>
          <w:sz w:val="24"/>
          <w:szCs w:val="24"/>
        </w:rPr>
        <w:t>4、质量目标：</w:t>
      </w:r>
      <w:r>
        <w:rPr>
          <w:rFonts w:hint="eastAsia" w:ascii="宋体" w:hAnsi="宋体" w:cs="宋体"/>
          <w:kern w:val="0"/>
          <w:sz w:val="24"/>
          <w:szCs w:val="24"/>
          <w:lang w:val="en-US" w:eastAsia="zh-CN"/>
        </w:rPr>
        <w:t>合格</w:t>
      </w:r>
      <w:r>
        <w:rPr>
          <w:rFonts w:hint="eastAsia" w:ascii="宋体" w:hAnsi="宋体" w:cs="宋体"/>
          <w:kern w:val="0"/>
          <w:sz w:val="24"/>
          <w:szCs w:val="24"/>
        </w:rPr>
        <w:t>。</w:t>
      </w:r>
    </w:p>
    <w:p>
      <w:pPr>
        <w:widowControl/>
        <w:shd w:val="clear" w:color="auto" w:fill="FFFFFF"/>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5、付款方式：本项目无预付款，</w:t>
      </w:r>
      <w:r>
        <w:rPr>
          <w:rFonts w:hint="eastAsia" w:ascii="宋体" w:hAnsi="宋体" w:cs="宋体"/>
          <w:kern w:val="0"/>
          <w:sz w:val="24"/>
          <w:szCs w:val="24"/>
          <w:lang w:val="en-US" w:eastAsia="zh-CN"/>
        </w:rPr>
        <w:t>测量</w:t>
      </w:r>
      <w:r>
        <w:rPr>
          <w:rFonts w:hint="eastAsia" w:ascii="宋体" w:hAnsi="宋体" w:cs="宋体"/>
          <w:kern w:val="0"/>
          <w:sz w:val="24"/>
          <w:szCs w:val="24"/>
        </w:rPr>
        <w:t>工作外业结束，提交满足设计正式的</w:t>
      </w:r>
      <w:r>
        <w:rPr>
          <w:rFonts w:hint="eastAsia" w:ascii="宋体" w:hAnsi="宋体" w:cs="宋体"/>
          <w:kern w:val="0"/>
          <w:sz w:val="24"/>
          <w:szCs w:val="24"/>
          <w:lang w:val="en-US" w:eastAsia="zh-CN"/>
        </w:rPr>
        <w:t>测量</w:t>
      </w:r>
      <w:r>
        <w:rPr>
          <w:rFonts w:hint="eastAsia" w:ascii="宋体" w:hAnsi="宋体" w:cs="宋体"/>
          <w:kern w:val="0"/>
          <w:sz w:val="24"/>
          <w:szCs w:val="24"/>
        </w:rPr>
        <w:t>成果资料15天内，甲方向乙方支付至</w:t>
      </w:r>
      <w:r>
        <w:rPr>
          <w:rFonts w:hint="eastAsia" w:ascii="宋体" w:hAnsi="宋体" w:cs="宋体"/>
          <w:kern w:val="0"/>
          <w:sz w:val="24"/>
          <w:szCs w:val="24"/>
          <w:lang w:val="en-US" w:eastAsia="zh-CN"/>
        </w:rPr>
        <w:t>测量</w:t>
      </w:r>
      <w:r>
        <w:rPr>
          <w:rFonts w:hint="eastAsia" w:ascii="宋体" w:hAnsi="宋体" w:cs="宋体"/>
          <w:kern w:val="0"/>
          <w:sz w:val="24"/>
          <w:szCs w:val="24"/>
        </w:rPr>
        <w:t>费用的80％，项目</w:t>
      </w:r>
      <w:r>
        <w:rPr>
          <w:rFonts w:hint="eastAsia" w:ascii="宋体" w:hAnsi="宋体" w:cs="宋体"/>
          <w:kern w:val="0"/>
          <w:sz w:val="24"/>
          <w:szCs w:val="24"/>
          <w:lang w:val="en-US" w:eastAsia="zh-CN"/>
        </w:rPr>
        <w:t>测量</w:t>
      </w:r>
      <w:r>
        <w:rPr>
          <w:rFonts w:hint="eastAsia" w:ascii="宋体" w:hAnsi="宋体" w:cs="宋体"/>
          <w:kern w:val="0"/>
          <w:sz w:val="24"/>
          <w:szCs w:val="24"/>
        </w:rPr>
        <w:t>报告后付清余款。</w:t>
      </w:r>
    </w:p>
    <w:p>
      <w:pPr>
        <w:widowControl/>
        <w:shd w:val="clear" w:color="auto" w:fill="FFFFFF"/>
        <w:spacing w:line="360" w:lineRule="auto"/>
        <w:ind w:firstLine="480" w:firstLineChars="200"/>
        <w:rPr>
          <w:rFonts w:ascii="宋体" w:hAnsi="宋体" w:cs="宋体"/>
          <w:kern w:val="0"/>
          <w:sz w:val="24"/>
          <w:szCs w:val="24"/>
        </w:rPr>
      </w:pPr>
      <w:r>
        <w:rPr>
          <w:rFonts w:hint="eastAsia" w:ascii="宋体" w:hAnsi="宋体" w:cs="宋体"/>
          <w:kern w:val="0"/>
          <w:sz w:val="24"/>
          <w:szCs w:val="24"/>
          <w:lang w:val="en-US" w:eastAsia="zh-CN"/>
        </w:rPr>
        <w:t>四</w:t>
      </w:r>
      <w:r>
        <w:rPr>
          <w:rFonts w:hint="eastAsia" w:ascii="宋体" w:hAnsi="宋体" w:cs="宋体"/>
          <w:kern w:val="0"/>
          <w:sz w:val="24"/>
          <w:szCs w:val="24"/>
        </w:rPr>
        <w:t>、投标人资格要求：</w:t>
      </w:r>
    </w:p>
    <w:p>
      <w:pPr>
        <w:widowControl/>
        <w:shd w:val="clear" w:color="auto" w:fill="FFFFFF"/>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 xml:space="preserve">1、在中国境内注册并取得营业执照，具有独立法人资格，提供有效营业执照； </w:t>
      </w:r>
    </w:p>
    <w:p>
      <w:pPr>
        <w:widowControl/>
        <w:shd w:val="clear" w:color="auto" w:fill="FFFFFF"/>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2、投标人必须具备建设行政主管部门核发的测绘乙级及以上资质；</w:t>
      </w:r>
    </w:p>
    <w:p>
      <w:pPr>
        <w:widowControl/>
        <w:shd w:val="clear" w:color="auto" w:fill="FFFFFF"/>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3、投标人拟派项目经理须具备测绘专业</w:t>
      </w:r>
      <w:r>
        <w:rPr>
          <w:rFonts w:hint="eastAsia" w:ascii="宋体" w:hAnsi="宋体" w:cs="宋体"/>
          <w:kern w:val="0"/>
          <w:sz w:val="24"/>
          <w:szCs w:val="24"/>
          <w:lang w:val="en-US" w:eastAsia="zh-CN"/>
        </w:rPr>
        <w:t>中</w:t>
      </w:r>
      <w:r>
        <w:rPr>
          <w:rFonts w:hint="eastAsia" w:ascii="宋体" w:hAnsi="宋体" w:cs="宋体"/>
          <w:kern w:val="0"/>
          <w:sz w:val="24"/>
          <w:szCs w:val="24"/>
        </w:rPr>
        <w:t>级工程师，须提供在本单位近三个月人员社保证明）；</w:t>
      </w:r>
    </w:p>
    <w:p>
      <w:pPr>
        <w:widowControl/>
        <w:shd w:val="clear" w:color="auto" w:fill="FFFFFF"/>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4、投标人近三年（2019年1月至投标截止日）承担过</w:t>
      </w:r>
      <w:r>
        <w:rPr>
          <w:rFonts w:hint="eastAsia" w:ascii="宋体" w:hAnsi="宋体" w:cs="宋体"/>
          <w:kern w:val="0"/>
          <w:sz w:val="24"/>
          <w:szCs w:val="24"/>
          <w:lang w:val="en-US" w:eastAsia="zh-CN"/>
        </w:rPr>
        <w:t>10</w:t>
      </w:r>
      <w:r>
        <w:rPr>
          <w:rFonts w:hint="eastAsia" w:ascii="宋体" w:hAnsi="宋体" w:cs="宋体"/>
          <w:kern w:val="0"/>
          <w:sz w:val="24"/>
          <w:szCs w:val="24"/>
          <w:highlight w:val="yellow"/>
        </w:rPr>
        <w:t>万元及以上</w:t>
      </w:r>
      <w:r>
        <w:rPr>
          <w:rFonts w:hint="eastAsia" w:ascii="宋体" w:hAnsi="宋体" w:cs="宋体"/>
          <w:kern w:val="0"/>
          <w:sz w:val="24"/>
          <w:szCs w:val="24"/>
          <w:highlight w:val="yellow"/>
          <w:lang w:eastAsia="zh-CN"/>
        </w:rPr>
        <w:t>或</w:t>
      </w:r>
      <w:r>
        <w:rPr>
          <w:rFonts w:hint="eastAsia" w:ascii="宋体" w:hAnsi="宋体" w:cs="宋体"/>
          <w:kern w:val="0"/>
          <w:sz w:val="24"/>
          <w:szCs w:val="24"/>
          <w:highlight w:val="yellow"/>
          <w:lang w:val="en-US" w:eastAsia="zh-CN"/>
        </w:rPr>
        <w:t>150万㎡及以上</w:t>
      </w:r>
      <w:r>
        <w:rPr>
          <w:rFonts w:hint="eastAsia" w:ascii="宋体" w:hAnsi="宋体" w:cs="宋体"/>
          <w:kern w:val="0"/>
          <w:sz w:val="24"/>
          <w:szCs w:val="24"/>
          <w:highlight w:val="yellow"/>
        </w:rPr>
        <w:t>的工程</w:t>
      </w:r>
      <w:r>
        <w:rPr>
          <w:rFonts w:hint="eastAsia" w:ascii="宋体" w:hAnsi="宋体" w:cs="宋体"/>
          <w:kern w:val="0"/>
          <w:sz w:val="24"/>
          <w:szCs w:val="24"/>
          <w:highlight w:val="yellow"/>
          <w:lang w:val="en-US" w:eastAsia="zh-CN"/>
        </w:rPr>
        <w:t>测量</w:t>
      </w:r>
      <w:r>
        <w:rPr>
          <w:rFonts w:hint="eastAsia" w:ascii="宋体" w:hAnsi="宋体" w:cs="宋体"/>
          <w:kern w:val="0"/>
          <w:sz w:val="24"/>
          <w:szCs w:val="24"/>
          <w:highlight w:val="yellow"/>
        </w:rPr>
        <w:t>相关业绩</w:t>
      </w:r>
      <w:r>
        <w:rPr>
          <w:rFonts w:hint="eastAsia" w:ascii="宋体" w:hAnsi="宋体" w:cs="宋体"/>
          <w:kern w:val="0"/>
          <w:sz w:val="24"/>
          <w:szCs w:val="24"/>
        </w:rPr>
        <w:t>。提供中标通知书或合同证明文件，类似业绩以有效证明文件的落款时间为准；</w:t>
      </w:r>
    </w:p>
    <w:p>
      <w:pPr>
        <w:widowControl/>
        <w:shd w:val="clear" w:color="auto" w:fill="FFFFFF"/>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5、根据《关于在招标投标活动中对失信被执行人实施联合惩戒的通知》([2016]285号)规定，投标人须通过“信用中国”对本企业进行信用查询，若在“失信惩戒对象”名单中的，其投标无效，查询结果以开标当天在“信用中国”网站查询结果为准；</w:t>
      </w:r>
    </w:p>
    <w:p>
      <w:pPr>
        <w:widowControl/>
        <w:shd w:val="clear" w:color="auto" w:fill="FFFFFF"/>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6、投标人近三年内企业无涉及重大资产的不良诉讼，履约情况良好，近三年无重大违法情况（提供没有重大违法记录的书面声明），且目前未处于投标资格被取消状态；</w:t>
      </w:r>
    </w:p>
    <w:p>
      <w:pPr>
        <w:widowControl/>
        <w:shd w:val="clear" w:color="auto" w:fill="FFFFFF"/>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7、本项目不接受联合体投标</w:t>
      </w:r>
    </w:p>
    <w:p>
      <w:pPr>
        <w:widowControl/>
        <w:shd w:val="clear" w:color="auto" w:fill="FFFFFF"/>
        <w:spacing w:line="360" w:lineRule="auto"/>
        <w:ind w:firstLine="480" w:firstLineChars="200"/>
        <w:rPr>
          <w:rFonts w:ascii="宋体" w:hAnsi="宋体" w:cs="宋体"/>
          <w:kern w:val="0"/>
          <w:sz w:val="24"/>
          <w:szCs w:val="24"/>
        </w:rPr>
      </w:pPr>
      <w:r>
        <w:rPr>
          <w:rFonts w:hint="eastAsia" w:ascii="宋体" w:hAnsi="宋体" w:cs="宋体"/>
          <w:kern w:val="0"/>
          <w:sz w:val="24"/>
          <w:szCs w:val="24"/>
          <w:lang w:val="en-US" w:eastAsia="zh-CN"/>
        </w:rPr>
        <w:t>五</w:t>
      </w:r>
      <w:r>
        <w:rPr>
          <w:rFonts w:hint="eastAsia" w:ascii="宋体" w:hAnsi="宋体" w:cs="宋体"/>
          <w:kern w:val="0"/>
          <w:sz w:val="24"/>
          <w:szCs w:val="24"/>
        </w:rPr>
        <w:t>、报名方式</w:t>
      </w:r>
    </w:p>
    <w:p>
      <w:pPr>
        <w:widowControl/>
        <w:shd w:val="clear" w:color="auto" w:fill="FFFFFF"/>
        <w:spacing w:line="360" w:lineRule="auto"/>
        <w:ind w:firstLine="480" w:firstLineChars="200"/>
        <w:rPr>
          <w:rFonts w:hint="default" w:ascii="宋体" w:hAnsi="宋体" w:cs="宋体" w:eastAsiaTheme="minorEastAsia"/>
          <w:kern w:val="0"/>
          <w:sz w:val="24"/>
          <w:szCs w:val="24"/>
          <w:lang w:val="en-US" w:eastAsia="zh-CN"/>
        </w:rPr>
      </w:pPr>
      <w:r>
        <w:rPr>
          <w:rFonts w:ascii="宋体" w:hAnsi="宋体" w:cs="宋体"/>
          <w:kern w:val="0"/>
          <w:sz w:val="24"/>
          <w:szCs w:val="24"/>
        </w:rPr>
        <w:t>1、</w:t>
      </w:r>
      <w:r>
        <w:rPr>
          <w:rFonts w:hint="eastAsia" w:ascii="宋体" w:hAnsi="宋体" w:cs="宋体"/>
          <w:kern w:val="0"/>
          <w:sz w:val="24"/>
          <w:szCs w:val="24"/>
        </w:rPr>
        <w:t>报名</w:t>
      </w:r>
      <w:r>
        <w:rPr>
          <w:rFonts w:ascii="宋体" w:hAnsi="宋体" w:cs="宋体"/>
          <w:kern w:val="0"/>
          <w:sz w:val="24"/>
          <w:szCs w:val="24"/>
        </w:rPr>
        <w:t>方式：</w:t>
      </w:r>
      <w:r>
        <w:rPr>
          <w:rFonts w:hint="eastAsia" w:ascii="宋体" w:hAnsi="宋体" w:cs="宋体"/>
          <w:kern w:val="0"/>
          <w:sz w:val="24"/>
          <w:szCs w:val="24"/>
        </w:rPr>
        <w:t>各遴选申请人于2022年</w:t>
      </w:r>
      <w:r>
        <w:rPr>
          <w:rFonts w:hint="eastAsia" w:ascii="宋体" w:hAnsi="宋体" w:cs="宋体"/>
          <w:kern w:val="0"/>
          <w:sz w:val="24"/>
          <w:szCs w:val="24"/>
          <w:lang w:val="en-US" w:eastAsia="zh-CN"/>
        </w:rPr>
        <w:t>6</w:t>
      </w:r>
      <w:r>
        <w:rPr>
          <w:rFonts w:hint="eastAsia" w:ascii="宋体" w:hAnsi="宋体" w:cs="宋体"/>
          <w:kern w:val="0"/>
          <w:sz w:val="24"/>
          <w:szCs w:val="24"/>
        </w:rPr>
        <w:t>月</w:t>
      </w:r>
      <w:r>
        <w:rPr>
          <w:rFonts w:hint="eastAsia" w:ascii="宋体" w:hAnsi="宋体" w:cs="宋体"/>
          <w:kern w:val="0"/>
          <w:sz w:val="24"/>
          <w:szCs w:val="24"/>
          <w:lang w:val="en-US" w:eastAsia="zh-CN"/>
        </w:rPr>
        <w:t>23</w:t>
      </w:r>
      <w:r>
        <w:rPr>
          <w:rFonts w:hint="eastAsia" w:ascii="宋体" w:hAnsi="宋体" w:cs="宋体"/>
          <w:kern w:val="0"/>
          <w:sz w:val="24"/>
          <w:szCs w:val="24"/>
        </w:rPr>
        <w:t>日16点前</w:t>
      </w:r>
      <w:r>
        <w:rPr>
          <w:rFonts w:ascii="宋体" w:hAnsi="宋体" w:cs="宋体"/>
          <w:kern w:val="0"/>
          <w:sz w:val="24"/>
          <w:szCs w:val="24"/>
        </w:rPr>
        <w:t>通过</w:t>
      </w:r>
      <w:r>
        <w:rPr>
          <w:rFonts w:hint="eastAsia" w:ascii="宋体" w:hAnsi="宋体" w:cs="宋体"/>
          <w:kern w:val="0"/>
          <w:sz w:val="24"/>
          <w:szCs w:val="24"/>
        </w:rPr>
        <w:t>城发集团官网</w:t>
      </w:r>
      <w:r>
        <w:rPr>
          <w:rFonts w:ascii="宋体" w:hAnsi="宋体" w:cs="宋体"/>
          <w:kern w:val="0"/>
          <w:sz w:val="24"/>
          <w:szCs w:val="24"/>
        </w:rPr>
        <w:t>公告附件下载</w:t>
      </w:r>
      <w:r>
        <w:rPr>
          <w:rFonts w:hint="eastAsia" w:ascii="宋体" w:hAnsi="宋体" w:cs="宋体"/>
          <w:kern w:val="0"/>
          <w:sz w:val="24"/>
          <w:szCs w:val="24"/>
        </w:rPr>
        <w:t>报名表并递交300元投标报名费，</w:t>
      </w:r>
      <w:r>
        <w:rPr>
          <w:sz w:val="24"/>
          <w:szCs w:val="28"/>
        </w:rPr>
        <w:fldChar w:fldCharType="begin"/>
      </w:r>
      <w:r>
        <w:rPr>
          <w:sz w:val="24"/>
          <w:szCs w:val="28"/>
        </w:rPr>
        <w:instrText xml:space="preserve"> HYPERLINK "mailto:填写报名表连同报名费交纳凭证发送至13700253@qq.com" </w:instrText>
      </w:r>
      <w:r>
        <w:rPr>
          <w:sz w:val="24"/>
          <w:szCs w:val="28"/>
        </w:rPr>
        <w:fldChar w:fldCharType="separate"/>
      </w:r>
      <w:r>
        <w:rPr>
          <w:rStyle w:val="20"/>
          <w:rFonts w:hint="eastAsia" w:ascii="宋体" w:hAnsi="宋体" w:cs="宋体"/>
          <w:kern w:val="0"/>
          <w:sz w:val="24"/>
          <w:szCs w:val="24"/>
        </w:rPr>
        <w:t>填写报名表连同报名费交纳凭证发送至</w:t>
      </w:r>
      <w:r>
        <w:rPr>
          <w:rStyle w:val="20"/>
          <w:rFonts w:hint="eastAsia" w:ascii="宋体" w:hAnsi="宋体" w:cs="宋体"/>
          <w:kern w:val="0"/>
          <w:sz w:val="24"/>
          <w:szCs w:val="24"/>
          <w:lang w:val="en-US" w:eastAsia="zh-CN"/>
        </w:rPr>
        <w:t>870436423</w:t>
      </w:r>
      <w:r>
        <w:rPr>
          <w:rStyle w:val="20"/>
          <w:rFonts w:hint="eastAsia" w:ascii="宋体" w:hAnsi="宋体" w:cs="宋体"/>
          <w:kern w:val="0"/>
          <w:sz w:val="24"/>
          <w:szCs w:val="24"/>
        </w:rPr>
        <w:t>@qq.com</w:t>
      </w:r>
      <w:r>
        <w:rPr>
          <w:rStyle w:val="20"/>
          <w:rFonts w:hint="eastAsia" w:ascii="宋体" w:hAnsi="宋体" w:cs="宋体"/>
          <w:kern w:val="0"/>
          <w:sz w:val="24"/>
          <w:szCs w:val="24"/>
        </w:rPr>
        <w:fldChar w:fldCharType="end"/>
      </w:r>
      <w:r>
        <w:rPr>
          <w:rFonts w:ascii="宋体" w:hAnsi="宋体" w:cs="宋体"/>
          <w:kern w:val="0"/>
          <w:sz w:val="24"/>
          <w:szCs w:val="24"/>
        </w:rPr>
        <w:t>。</w:t>
      </w:r>
      <w:r>
        <w:rPr>
          <w:rFonts w:hint="eastAsia" w:ascii="宋体" w:hAnsi="宋体" w:cs="宋体"/>
          <w:kern w:val="0"/>
          <w:sz w:val="24"/>
          <w:szCs w:val="24"/>
          <w:lang w:val="en-US" w:eastAsia="zh-CN"/>
        </w:rPr>
        <w:t>未按要求递交的报名表及报名费的视为无效投标。</w:t>
      </w:r>
    </w:p>
    <w:p>
      <w:pPr>
        <w:widowControl/>
        <w:shd w:val="clear" w:color="auto" w:fill="FFFFFF"/>
        <w:spacing w:line="360" w:lineRule="auto"/>
        <w:ind w:firstLine="480" w:firstLineChars="200"/>
        <w:rPr>
          <w:rFonts w:ascii="宋体" w:hAnsi="宋体" w:cs="宋体"/>
          <w:kern w:val="0"/>
          <w:sz w:val="24"/>
          <w:szCs w:val="24"/>
        </w:rPr>
      </w:pPr>
      <w:r>
        <w:rPr>
          <w:rFonts w:hint="eastAsia" w:ascii="宋体" w:hAnsi="宋体" w:cs="宋体"/>
          <w:kern w:val="0"/>
          <w:sz w:val="24"/>
          <w:szCs w:val="24"/>
        </w:rPr>
        <w:t>户名：黄石城发工程咨询有限公司</w:t>
      </w:r>
    </w:p>
    <w:p>
      <w:pPr>
        <w:widowControl/>
        <w:shd w:val="clear" w:color="auto" w:fill="FFFFFF"/>
        <w:spacing w:line="360" w:lineRule="auto"/>
        <w:ind w:firstLine="480" w:firstLineChars="200"/>
        <w:rPr>
          <w:rFonts w:ascii="宋体" w:hAnsi="宋体" w:cs="宋体"/>
          <w:kern w:val="0"/>
          <w:sz w:val="24"/>
          <w:szCs w:val="24"/>
        </w:rPr>
      </w:pPr>
      <w:r>
        <w:rPr>
          <w:rFonts w:hint="eastAsia" w:ascii="宋体" w:hAnsi="宋体" w:cs="宋体"/>
          <w:kern w:val="0"/>
          <w:sz w:val="24"/>
          <w:szCs w:val="24"/>
        </w:rPr>
        <w:t>帐号：714903123910101</w:t>
      </w:r>
    </w:p>
    <w:p>
      <w:pPr>
        <w:widowControl/>
        <w:shd w:val="clear" w:color="auto" w:fill="FFFFFF"/>
        <w:spacing w:line="360" w:lineRule="auto"/>
        <w:ind w:firstLine="480" w:firstLineChars="200"/>
        <w:rPr>
          <w:rFonts w:ascii="宋体" w:hAnsi="宋体" w:cs="宋体"/>
          <w:kern w:val="0"/>
          <w:sz w:val="24"/>
          <w:szCs w:val="24"/>
        </w:rPr>
      </w:pPr>
      <w:r>
        <w:rPr>
          <w:rFonts w:hint="eastAsia" w:ascii="宋体" w:hAnsi="宋体" w:cs="宋体"/>
          <w:kern w:val="0"/>
          <w:sz w:val="24"/>
          <w:szCs w:val="24"/>
        </w:rPr>
        <w:t>开户行：招商银行股份有限公司黄石分行营业部</w:t>
      </w:r>
    </w:p>
    <w:p>
      <w:pPr>
        <w:widowControl/>
        <w:shd w:val="clear" w:color="auto" w:fill="FFFFFF"/>
        <w:spacing w:line="360" w:lineRule="auto"/>
        <w:ind w:firstLine="480" w:firstLineChars="200"/>
        <w:rPr>
          <w:rFonts w:ascii="宋体" w:hAnsi="宋体" w:cs="宋体"/>
          <w:kern w:val="0"/>
          <w:sz w:val="24"/>
          <w:szCs w:val="24"/>
        </w:rPr>
      </w:pPr>
      <w:r>
        <w:rPr>
          <w:rFonts w:hint="eastAsia" w:ascii="宋体" w:hAnsi="宋体" w:cs="宋体"/>
          <w:sz w:val="24"/>
          <w:szCs w:val="24"/>
        </w:rPr>
        <w:t>本项目招标代理费参照（计价格【2002】1980号）文标准的50%计取，由中标人领取中标通知书时一次性向代理机构交纳。</w:t>
      </w:r>
    </w:p>
    <w:p>
      <w:pPr>
        <w:widowControl/>
        <w:shd w:val="clear" w:color="auto" w:fill="FFFFFF"/>
        <w:spacing w:line="360" w:lineRule="auto"/>
        <w:ind w:firstLine="480" w:firstLineChars="200"/>
        <w:rPr>
          <w:rFonts w:ascii="宋体" w:hAnsi="宋体" w:cs="宋体"/>
          <w:kern w:val="0"/>
          <w:sz w:val="24"/>
          <w:szCs w:val="24"/>
        </w:rPr>
      </w:pPr>
      <w:r>
        <w:rPr>
          <w:rFonts w:ascii="宋体" w:hAnsi="宋体" w:cs="宋体"/>
          <w:kern w:val="0"/>
          <w:sz w:val="24"/>
          <w:szCs w:val="24"/>
        </w:rPr>
        <w:t>2、若招标时间、地点以及招标项目其它相关内容发生变更，将在</w:t>
      </w:r>
      <w:r>
        <w:rPr>
          <w:rFonts w:hint="eastAsia" w:ascii="宋体" w:hAnsi="宋体" w:cs="宋体"/>
          <w:kern w:val="0"/>
          <w:sz w:val="24"/>
          <w:szCs w:val="24"/>
        </w:rPr>
        <w:t>城发集团官网</w:t>
      </w:r>
      <w:r>
        <w:rPr>
          <w:rFonts w:ascii="宋体" w:hAnsi="宋体" w:cs="宋体"/>
          <w:kern w:val="0"/>
          <w:sz w:val="24"/>
          <w:szCs w:val="24"/>
        </w:rPr>
        <w:t xml:space="preserve">发布变更公告，请各投标人随时关注相关信息。 </w:t>
      </w:r>
    </w:p>
    <w:p>
      <w:pPr>
        <w:spacing w:line="360" w:lineRule="auto"/>
        <w:ind w:firstLine="482" w:firstLineChars="200"/>
        <w:rPr>
          <w:rFonts w:ascii="宋体" w:hAnsi="宋体" w:cs="宋体"/>
          <w:sz w:val="24"/>
          <w:szCs w:val="24"/>
        </w:rPr>
      </w:pPr>
      <w:r>
        <w:rPr>
          <w:rFonts w:hint="eastAsia" w:ascii="宋体" w:cs="宋体"/>
          <w:b/>
          <w:bCs/>
          <w:kern w:val="0"/>
          <w:sz w:val="24"/>
          <w:szCs w:val="24"/>
          <w:lang w:val="en-US" w:eastAsia="zh-CN"/>
        </w:rPr>
        <w:t>六</w:t>
      </w:r>
      <w:r>
        <w:rPr>
          <w:rFonts w:ascii="宋体" w:cs="宋体"/>
          <w:b/>
          <w:bCs/>
          <w:kern w:val="0"/>
          <w:sz w:val="24"/>
          <w:szCs w:val="24"/>
        </w:rPr>
        <w:t>、</w:t>
      </w:r>
      <w:r>
        <w:rPr>
          <w:rFonts w:hint="eastAsia" w:ascii="宋体" w:cs="宋体"/>
          <w:b/>
          <w:bCs/>
          <w:kern w:val="0"/>
          <w:sz w:val="24"/>
          <w:szCs w:val="24"/>
        </w:rPr>
        <w:t>遴选响应文件</w:t>
      </w:r>
      <w:r>
        <w:rPr>
          <w:rFonts w:ascii="宋体" w:cs="宋体"/>
          <w:b/>
          <w:bCs/>
          <w:kern w:val="0"/>
          <w:sz w:val="24"/>
          <w:szCs w:val="24"/>
        </w:rPr>
        <w:t xml:space="preserve">递交截止时间、地点： </w:t>
      </w:r>
    </w:p>
    <w:p>
      <w:pPr>
        <w:widowControl/>
        <w:shd w:val="clear" w:color="auto" w:fill="FFFFFF"/>
        <w:spacing w:line="360" w:lineRule="auto"/>
        <w:ind w:firstLine="480" w:firstLineChars="200"/>
        <w:rPr>
          <w:rFonts w:ascii="宋体" w:hAnsi="宋体" w:cs="宋体"/>
          <w:kern w:val="0"/>
          <w:sz w:val="24"/>
          <w:szCs w:val="24"/>
        </w:rPr>
      </w:pPr>
      <w:r>
        <w:rPr>
          <w:rFonts w:ascii="宋体" w:hAnsi="宋体" w:cs="宋体"/>
          <w:kern w:val="0"/>
          <w:sz w:val="24"/>
          <w:szCs w:val="24"/>
        </w:rPr>
        <w:t>1、投标文件递交截止时间（开标时间）：202</w:t>
      </w:r>
      <w:r>
        <w:rPr>
          <w:rFonts w:hint="eastAsia" w:ascii="宋体" w:hAnsi="宋体" w:cs="宋体"/>
          <w:kern w:val="0"/>
          <w:sz w:val="24"/>
          <w:szCs w:val="24"/>
        </w:rPr>
        <w:t>2</w:t>
      </w:r>
      <w:r>
        <w:rPr>
          <w:rFonts w:ascii="宋体" w:hAnsi="宋体" w:cs="宋体"/>
          <w:kern w:val="0"/>
          <w:sz w:val="24"/>
          <w:szCs w:val="24"/>
        </w:rPr>
        <w:t>年</w:t>
      </w:r>
      <w:r>
        <w:rPr>
          <w:rFonts w:hint="eastAsia" w:ascii="宋体" w:hAnsi="宋体" w:cs="宋体"/>
          <w:kern w:val="0"/>
          <w:sz w:val="24"/>
          <w:szCs w:val="24"/>
          <w:lang w:val="en-US" w:eastAsia="zh-CN"/>
        </w:rPr>
        <w:t>6</w:t>
      </w:r>
      <w:r>
        <w:rPr>
          <w:rFonts w:ascii="宋体" w:hAnsi="宋体" w:cs="宋体"/>
          <w:kern w:val="0"/>
          <w:sz w:val="24"/>
          <w:szCs w:val="24"/>
        </w:rPr>
        <w:t>月</w:t>
      </w:r>
      <w:r>
        <w:rPr>
          <w:rFonts w:hint="eastAsia" w:ascii="宋体" w:hAnsi="宋体" w:cs="宋体"/>
          <w:kern w:val="0"/>
          <w:sz w:val="24"/>
          <w:szCs w:val="24"/>
          <w:lang w:val="en-US" w:eastAsia="zh-CN"/>
        </w:rPr>
        <w:t>24</w:t>
      </w:r>
      <w:r>
        <w:rPr>
          <w:rFonts w:ascii="宋体" w:hAnsi="宋体" w:cs="宋体"/>
          <w:kern w:val="0"/>
          <w:sz w:val="24"/>
          <w:szCs w:val="24"/>
        </w:rPr>
        <w:t>日</w:t>
      </w:r>
      <w:r>
        <w:rPr>
          <w:rFonts w:hint="eastAsia" w:ascii="宋体" w:hAnsi="宋体" w:cs="宋体"/>
          <w:kern w:val="0"/>
          <w:sz w:val="24"/>
          <w:szCs w:val="24"/>
          <w:lang w:val="en-US" w:eastAsia="zh-CN"/>
        </w:rPr>
        <w:t>14</w:t>
      </w:r>
      <w:r>
        <w:rPr>
          <w:rFonts w:ascii="宋体" w:hAnsi="宋体" w:cs="宋体"/>
          <w:kern w:val="0"/>
          <w:sz w:val="24"/>
          <w:szCs w:val="24"/>
        </w:rPr>
        <w:t>时</w:t>
      </w:r>
      <w:r>
        <w:rPr>
          <w:rFonts w:hint="eastAsia" w:ascii="宋体" w:hAnsi="宋体" w:cs="宋体"/>
          <w:kern w:val="0"/>
          <w:sz w:val="24"/>
          <w:szCs w:val="24"/>
          <w:lang w:val="en-US" w:eastAsia="zh-CN"/>
        </w:rPr>
        <w:t>30</w:t>
      </w:r>
      <w:r>
        <w:rPr>
          <w:rFonts w:ascii="宋体" w:hAnsi="宋体" w:cs="宋体"/>
          <w:kern w:val="0"/>
          <w:sz w:val="24"/>
          <w:szCs w:val="24"/>
        </w:rPr>
        <w:t>分。</w:t>
      </w:r>
    </w:p>
    <w:p>
      <w:pPr>
        <w:widowControl/>
        <w:shd w:val="clear" w:color="auto" w:fill="FFFFFF"/>
        <w:spacing w:line="360" w:lineRule="auto"/>
        <w:ind w:firstLine="480" w:firstLineChars="200"/>
        <w:rPr>
          <w:rFonts w:ascii="宋体" w:hAnsi="宋体" w:cs="宋体"/>
          <w:kern w:val="0"/>
          <w:sz w:val="24"/>
          <w:szCs w:val="24"/>
        </w:rPr>
      </w:pPr>
      <w:r>
        <w:rPr>
          <w:sz w:val="24"/>
          <w:szCs w:val="28"/>
        </w:rPr>
        <w:fldChar w:fldCharType="begin"/>
      </w:r>
      <w:r>
        <w:rPr>
          <w:sz w:val="24"/>
          <w:szCs w:val="28"/>
        </w:rPr>
        <w:instrText xml:space="preserve"> HYPERLINK "https://www.baidu.com/link?url=uL3RrtTBbv5YS27LDfW7zFtaCwgC40oB2h08ZBgDe-i&amp;amp;wd&amp;amp;eqid=f29a7d930012f6ac000000065d517826" \h </w:instrText>
      </w:r>
      <w:r>
        <w:rPr>
          <w:sz w:val="24"/>
          <w:szCs w:val="28"/>
        </w:rPr>
        <w:fldChar w:fldCharType="separate"/>
      </w:r>
      <w:r>
        <w:rPr>
          <w:rFonts w:ascii="宋体" w:hAnsi="宋体" w:cs="宋体"/>
          <w:kern w:val="0"/>
          <w:sz w:val="24"/>
          <w:szCs w:val="24"/>
        </w:rPr>
        <w:t>2、开标地点：黄石市城市发展投资集团有限公司</w:t>
      </w:r>
      <w:r>
        <w:rPr>
          <w:rFonts w:ascii="宋体" w:hAnsi="宋体" w:cs="宋体"/>
          <w:kern w:val="0"/>
          <w:sz w:val="24"/>
          <w:szCs w:val="24"/>
        </w:rPr>
        <w:fldChar w:fldCharType="end"/>
      </w:r>
      <w:r>
        <w:rPr>
          <w:rFonts w:ascii="宋体" w:hAnsi="宋体" w:cs="宋体"/>
          <w:kern w:val="0"/>
          <w:sz w:val="24"/>
          <w:szCs w:val="24"/>
        </w:rPr>
        <w:t>3号楼3楼开标室</w:t>
      </w:r>
    </w:p>
    <w:p>
      <w:pPr>
        <w:widowControl/>
        <w:shd w:val="clear" w:color="auto" w:fill="FFFFFF"/>
        <w:spacing w:line="360" w:lineRule="auto"/>
        <w:ind w:firstLine="480" w:firstLineChars="200"/>
        <w:rPr>
          <w:rFonts w:ascii="宋体" w:hAnsi="宋体" w:cs="宋体"/>
          <w:kern w:val="0"/>
          <w:sz w:val="24"/>
          <w:szCs w:val="24"/>
        </w:rPr>
      </w:pPr>
      <w:r>
        <w:rPr>
          <w:rFonts w:ascii="宋体" w:hAnsi="宋体" w:cs="宋体"/>
          <w:kern w:val="0"/>
          <w:sz w:val="24"/>
          <w:szCs w:val="24"/>
        </w:rPr>
        <w:t>3、本次项目采取网上递交及网络开标的方式进行，截止时间后递交的投标文件不予接收。即</w:t>
      </w:r>
      <w:r>
        <w:rPr>
          <w:rFonts w:hint="eastAsia" w:ascii="宋体" w:hAnsi="宋体" w:cs="宋体"/>
          <w:kern w:val="0"/>
          <w:sz w:val="24"/>
          <w:szCs w:val="24"/>
        </w:rPr>
        <w:t>申请人</w:t>
      </w:r>
      <w:r>
        <w:rPr>
          <w:rFonts w:ascii="宋体" w:hAnsi="宋体" w:cs="宋体"/>
          <w:kern w:val="0"/>
          <w:sz w:val="24"/>
          <w:szCs w:val="24"/>
        </w:rPr>
        <w:t>在</w:t>
      </w:r>
      <w:r>
        <w:rPr>
          <w:rFonts w:hint="eastAsia" w:ascii="宋体" w:hAnsi="宋体" w:cs="宋体"/>
          <w:kern w:val="0"/>
          <w:sz w:val="24"/>
          <w:szCs w:val="24"/>
        </w:rPr>
        <w:t>遴选响应</w:t>
      </w:r>
      <w:r>
        <w:rPr>
          <w:rFonts w:ascii="宋体" w:hAnsi="宋体" w:cs="宋体"/>
          <w:kern w:val="0"/>
          <w:sz w:val="24"/>
          <w:szCs w:val="24"/>
        </w:rPr>
        <w:t>文件上规定的</w:t>
      </w:r>
      <w:r>
        <w:rPr>
          <w:rFonts w:hint="eastAsia" w:ascii="宋体" w:hAnsi="宋体" w:cs="宋体"/>
          <w:kern w:val="0"/>
          <w:sz w:val="24"/>
          <w:szCs w:val="24"/>
        </w:rPr>
        <w:t>递交</w:t>
      </w:r>
      <w:r>
        <w:rPr>
          <w:rFonts w:ascii="宋体" w:hAnsi="宋体" w:cs="宋体"/>
          <w:kern w:val="0"/>
          <w:sz w:val="24"/>
          <w:szCs w:val="24"/>
        </w:rPr>
        <w:t>截止时间前，将投标文件转换成PDF格式并加密上传到（</w:t>
      </w:r>
      <w:r>
        <w:rPr>
          <w:rFonts w:hint="eastAsia" w:ascii="宋体" w:hAnsi="宋体" w:cs="宋体"/>
          <w:kern w:val="0"/>
          <w:sz w:val="24"/>
          <w:szCs w:val="24"/>
          <w:lang w:val="en-US" w:eastAsia="zh-CN"/>
        </w:rPr>
        <w:t>870436423</w:t>
      </w:r>
      <w:r>
        <w:rPr>
          <w:rFonts w:hint="eastAsia" w:ascii="宋体" w:hAnsi="宋体" w:cs="宋体"/>
          <w:kern w:val="0"/>
          <w:sz w:val="24"/>
          <w:szCs w:val="24"/>
        </w:rPr>
        <w:t>@qq.com）</w:t>
      </w:r>
      <w:r>
        <w:rPr>
          <w:rFonts w:ascii="宋体" w:hAnsi="宋体" w:cs="宋体"/>
          <w:kern w:val="0"/>
          <w:sz w:val="24"/>
          <w:szCs w:val="24"/>
        </w:rPr>
        <w:t>）邮箱。其中投标人递交投标文件时一定要在“邮件主题”上标注参与项目的名称+投标人名称。</w:t>
      </w:r>
    </w:p>
    <w:p>
      <w:pPr>
        <w:widowControl/>
        <w:shd w:val="clear" w:color="auto" w:fill="FFFFFF"/>
        <w:spacing w:line="360" w:lineRule="auto"/>
        <w:ind w:firstLine="480" w:firstLineChars="200"/>
        <w:rPr>
          <w:rFonts w:ascii="宋体" w:hAnsi="宋体" w:cs="宋体"/>
          <w:kern w:val="0"/>
          <w:sz w:val="24"/>
          <w:szCs w:val="24"/>
        </w:rPr>
      </w:pPr>
      <w:r>
        <w:rPr>
          <w:rFonts w:ascii="宋体" w:hAnsi="宋体" w:cs="宋体"/>
          <w:kern w:val="0"/>
          <w:sz w:val="24"/>
          <w:szCs w:val="24"/>
        </w:rPr>
        <w:t>本次开标采用网络开标，采用的会议软件为“腾讯会议”，请各投标人授权代表（即参会人员）提前用带视频功能的手机或电脑下载“腾讯会议”，并提前自行测试，防止意外出现。湖北城发设计咨询集团有限公司在投标文件递交截止时间后，将本次开标会的会议时间、会议ID及密码以邮件回传给在规定时间内递交了投标文件的投标人的投标邮箱。投标人不要使用163、1</w:t>
      </w:r>
      <w:r>
        <w:rPr>
          <w:rFonts w:hint="eastAsia" w:ascii="宋体" w:hAnsi="宋体" w:cs="宋体"/>
          <w:kern w:val="0"/>
          <w:sz w:val="24"/>
          <w:szCs w:val="24"/>
        </w:rPr>
        <w:t>26</w:t>
      </w:r>
      <w:r>
        <w:rPr>
          <w:rFonts w:ascii="宋体" w:hAnsi="宋体" w:cs="宋体"/>
          <w:kern w:val="0"/>
          <w:sz w:val="24"/>
          <w:szCs w:val="24"/>
        </w:rPr>
        <w:t>邮箱（该类型邮箱下载限速，影响开标进程），也不要将文件压缩。</w:t>
      </w:r>
    </w:p>
    <w:p>
      <w:pPr>
        <w:pStyle w:val="8"/>
        <w:spacing w:after="0" w:line="360" w:lineRule="auto"/>
        <w:ind w:firstLine="482" w:firstLineChars="200"/>
        <w:rPr>
          <w:rFonts w:cs="宋体"/>
          <w:b/>
          <w:bCs/>
          <w:w w:val="99"/>
          <w:sz w:val="24"/>
          <w:szCs w:val="24"/>
        </w:rPr>
      </w:pPr>
      <w:r>
        <w:rPr>
          <w:rFonts w:hint="eastAsia" w:cs="宋体"/>
          <w:b/>
          <w:bCs/>
          <w:sz w:val="24"/>
          <w:szCs w:val="24"/>
          <w:lang w:val="en-US" w:eastAsia="zh-CN"/>
        </w:rPr>
        <w:t>七</w:t>
      </w:r>
      <w:r>
        <w:rPr>
          <w:rFonts w:cs="宋体"/>
          <w:b/>
          <w:bCs/>
          <w:sz w:val="24"/>
          <w:szCs w:val="24"/>
        </w:rPr>
        <w:t>、发布公告的媒介</w:t>
      </w:r>
      <w:r>
        <w:rPr>
          <w:rFonts w:cs="宋体"/>
          <w:b/>
          <w:bCs/>
          <w:w w:val="99"/>
          <w:sz w:val="24"/>
          <w:szCs w:val="24"/>
        </w:rPr>
        <w:t xml:space="preserve"> </w:t>
      </w:r>
    </w:p>
    <w:p>
      <w:pPr>
        <w:pStyle w:val="8"/>
        <w:spacing w:after="0" w:line="360" w:lineRule="auto"/>
        <w:ind w:firstLine="480" w:firstLineChars="200"/>
        <w:rPr>
          <w:sz w:val="24"/>
          <w:szCs w:val="24"/>
        </w:rPr>
      </w:pPr>
      <w:r>
        <w:rPr>
          <w:sz w:val="24"/>
          <w:szCs w:val="24"/>
        </w:rPr>
        <w:t>本次</w:t>
      </w:r>
      <w:r>
        <w:rPr>
          <w:rFonts w:hint="eastAsia"/>
          <w:sz w:val="24"/>
          <w:szCs w:val="24"/>
        </w:rPr>
        <w:t>遴选</w:t>
      </w:r>
      <w:r>
        <w:rPr>
          <w:sz w:val="24"/>
          <w:szCs w:val="24"/>
        </w:rPr>
        <w:t>公告</w:t>
      </w:r>
      <w:r>
        <w:rPr>
          <w:rFonts w:hint="eastAsia"/>
          <w:sz w:val="24"/>
          <w:szCs w:val="24"/>
        </w:rPr>
        <w:t>在城发集团官网</w:t>
      </w:r>
      <w:r>
        <w:rPr>
          <w:sz w:val="24"/>
          <w:szCs w:val="24"/>
        </w:rPr>
        <w:t>公发布</w:t>
      </w:r>
    </w:p>
    <w:p>
      <w:pPr>
        <w:pStyle w:val="8"/>
        <w:spacing w:after="0" w:line="360" w:lineRule="auto"/>
        <w:ind w:firstLine="482" w:firstLineChars="200"/>
        <w:rPr>
          <w:rFonts w:cs="宋体"/>
          <w:b/>
          <w:bCs/>
          <w:sz w:val="24"/>
          <w:szCs w:val="24"/>
        </w:rPr>
      </w:pPr>
      <w:r>
        <w:rPr>
          <w:rFonts w:hint="eastAsia" w:cs="宋体"/>
          <w:b/>
          <w:bCs/>
          <w:sz w:val="24"/>
          <w:szCs w:val="24"/>
          <w:lang w:val="en-US" w:eastAsia="zh-CN"/>
        </w:rPr>
        <w:t>八</w:t>
      </w:r>
      <w:r>
        <w:rPr>
          <w:rFonts w:cs="宋体"/>
          <w:b/>
          <w:bCs/>
          <w:sz w:val="24"/>
          <w:szCs w:val="24"/>
        </w:rPr>
        <w:t xml:space="preserve">、联系方式 </w:t>
      </w:r>
    </w:p>
    <w:p>
      <w:pPr>
        <w:pStyle w:val="8"/>
        <w:spacing w:after="0" w:line="360" w:lineRule="auto"/>
        <w:ind w:firstLine="480" w:firstLineChars="200"/>
        <w:rPr>
          <w:sz w:val="24"/>
          <w:szCs w:val="24"/>
        </w:rPr>
      </w:pPr>
      <w:r>
        <w:rPr>
          <w:sz w:val="24"/>
          <w:szCs w:val="24"/>
        </w:rPr>
        <w:t>招标人：</w:t>
      </w:r>
      <w:r>
        <w:rPr>
          <w:rFonts w:hint="eastAsia" w:cs="宋体"/>
          <w:kern w:val="0"/>
          <w:sz w:val="24"/>
          <w:szCs w:val="24"/>
          <w:u w:val="single"/>
        </w:rPr>
        <w:t>黄石市城市建设投资开发有限责任公司</w:t>
      </w:r>
      <w:r>
        <w:rPr>
          <w:sz w:val="24"/>
          <w:szCs w:val="24"/>
        </w:rPr>
        <w:t xml:space="preserve"> </w:t>
      </w:r>
    </w:p>
    <w:p>
      <w:pPr>
        <w:pStyle w:val="8"/>
        <w:spacing w:after="0" w:line="360" w:lineRule="auto"/>
        <w:ind w:firstLine="480" w:firstLineChars="200"/>
        <w:rPr>
          <w:sz w:val="24"/>
          <w:szCs w:val="24"/>
        </w:rPr>
      </w:pPr>
      <w:r>
        <w:rPr>
          <w:sz w:val="24"/>
          <w:szCs w:val="24"/>
        </w:rPr>
        <w:t>联系人：</w:t>
      </w:r>
      <w:r>
        <w:rPr>
          <w:rFonts w:hint="eastAsia"/>
          <w:sz w:val="24"/>
          <w:szCs w:val="24"/>
          <w:lang w:val="en-US" w:eastAsia="zh-CN"/>
        </w:rPr>
        <w:t>卫</w:t>
      </w:r>
      <w:r>
        <w:rPr>
          <w:sz w:val="24"/>
          <w:szCs w:val="24"/>
        </w:rPr>
        <w:t>工</w:t>
      </w:r>
    </w:p>
    <w:p>
      <w:pPr>
        <w:pStyle w:val="8"/>
        <w:spacing w:after="0" w:line="360" w:lineRule="auto"/>
        <w:ind w:firstLine="480" w:firstLineChars="200"/>
        <w:rPr>
          <w:rFonts w:ascii="宋体" w:hAnsi="宋体" w:cs="宋体"/>
          <w:sz w:val="24"/>
          <w:szCs w:val="24"/>
        </w:rPr>
      </w:pPr>
      <w:r>
        <w:rPr>
          <w:sz w:val="24"/>
          <w:szCs w:val="24"/>
        </w:rPr>
        <w:t>联系电话：</w:t>
      </w:r>
      <w:r>
        <w:rPr>
          <w:rFonts w:hint="eastAsia"/>
          <w:sz w:val="24"/>
          <w:szCs w:val="24"/>
        </w:rPr>
        <w:t xml:space="preserve">0714-6267659  </w:t>
      </w:r>
    </w:p>
    <w:p>
      <w:pPr>
        <w:pStyle w:val="8"/>
        <w:spacing w:after="0" w:line="360" w:lineRule="auto"/>
        <w:ind w:firstLine="480" w:firstLineChars="200"/>
        <w:rPr>
          <w:sz w:val="24"/>
          <w:szCs w:val="24"/>
        </w:rPr>
      </w:pPr>
      <w:r>
        <w:rPr>
          <w:sz w:val="24"/>
          <w:szCs w:val="24"/>
        </w:rPr>
        <w:t>招标代理：</w:t>
      </w:r>
      <w:r>
        <w:rPr>
          <w:rFonts w:hint="eastAsia"/>
          <w:sz w:val="24"/>
          <w:szCs w:val="24"/>
        </w:rPr>
        <w:t>黄石城发工程咨询</w:t>
      </w:r>
      <w:r>
        <w:rPr>
          <w:sz w:val="24"/>
          <w:szCs w:val="24"/>
        </w:rPr>
        <w:t xml:space="preserve">有限公司 </w:t>
      </w:r>
    </w:p>
    <w:p>
      <w:pPr>
        <w:pStyle w:val="8"/>
        <w:spacing w:after="0" w:line="360" w:lineRule="auto"/>
        <w:ind w:firstLine="480" w:firstLineChars="200"/>
        <w:rPr>
          <w:sz w:val="24"/>
          <w:szCs w:val="24"/>
        </w:rPr>
      </w:pPr>
      <w:r>
        <w:rPr>
          <w:sz w:val="24"/>
          <w:szCs w:val="24"/>
        </w:rPr>
        <w:t>联系人：</w:t>
      </w:r>
      <w:r>
        <w:rPr>
          <w:rFonts w:hint="eastAsia"/>
          <w:sz w:val="24"/>
          <w:szCs w:val="24"/>
          <w:lang w:val="en-US" w:eastAsia="zh-CN"/>
        </w:rPr>
        <w:t>王</w:t>
      </w:r>
      <w:r>
        <w:rPr>
          <w:sz w:val="24"/>
          <w:szCs w:val="24"/>
        </w:rPr>
        <w:t>工</w:t>
      </w:r>
    </w:p>
    <w:p>
      <w:pPr>
        <w:pStyle w:val="8"/>
        <w:spacing w:after="0" w:line="360" w:lineRule="auto"/>
        <w:ind w:firstLine="480" w:firstLineChars="200"/>
        <w:rPr>
          <w:sz w:val="24"/>
          <w:szCs w:val="24"/>
        </w:rPr>
      </w:pPr>
      <w:r>
        <w:rPr>
          <w:sz w:val="24"/>
          <w:szCs w:val="24"/>
        </w:rPr>
        <w:t>联系电话：</w:t>
      </w:r>
      <w:r>
        <w:rPr>
          <w:rFonts w:hint="eastAsia"/>
          <w:sz w:val="24"/>
          <w:szCs w:val="24"/>
        </w:rPr>
        <w:t>0714-6380886</w:t>
      </w:r>
    </w:p>
    <w:p>
      <w:pPr>
        <w:pStyle w:val="8"/>
        <w:spacing w:after="0" w:line="360" w:lineRule="auto"/>
        <w:ind w:firstLine="480" w:firstLineChars="200"/>
        <w:rPr>
          <w:sz w:val="24"/>
          <w:szCs w:val="24"/>
        </w:rPr>
      </w:pPr>
      <w:r>
        <w:rPr>
          <w:sz w:val="24"/>
          <w:szCs w:val="24"/>
        </w:rPr>
        <w:t>地址：黄石市</w:t>
      </w:r>
      <w:r>
        <w:rPr>
          <w:rFonts w:hint="eastAsia"/>
          <w:sz w:val="24"/>
          <w:szCs w:val="24"/>
        </w:rPr>
        <w:t>下陆区磁湖路198号</w:t>
      </w:r>
      <w:r>
        <w:rPr>
          <w:sz w:val="24"/>
          <w:szCs w:val="24"/>
        </w:rPr>
        <w:t xml:space="preserve"> </w:t>
      </w:r>
    </w:p>
    <w:p>
      <w:pPr>
        <w:pStyle w:val="8"/>
        <w:spacing w:after="0" w:line="360" w:lineRule="auto"/>
        <w:ind w:firstLine="480" w:firstLineChars="200"/>
        <w:rPr>
          <w:rFonts w:cs="宋体"/>
          <w:sz w:val="24"/>
          <w:szCs w:val="24"/>
        </w:rPr>
      </w:pPr>
      <w:r>
        <w:rPr>
          <w:sz w:val="24"/>
          <w:szCs w:val="24"/>
        </w:rPr>
        <w:t>电子邮箱：</w:t>
      </w:r>
      <w:r>
        <w:rPr>
          <w:rFonts w:hint="eastAsia"/>
          <w:sz w:val="24"/>
          <w:szCs w:val="24"/>
          <w:lang w:val="en-US" w:eastAsia="zh-CN"/>
        </w:rPr>
        <w:t>870436423</w:t>
      </w:r>
      <w:r>
        <w:rPr>
          <w:rFonts w:hint="eastAsia"/>
          <w:sz w:val="24"/>
          <w:szCs w:val="24"/>
        </w:rPr>
        <w:t>@qq.com</w:t>
      </w:r>
    </w:p>
    <w:p>
      <w:pPr>
        <w:rPr>
          <w:rFonts w:ascii="宋体" w:hAnsi="宋体" w:cs="宋体"/>
          <w:sz w:val="24"/>
          <w:szCs w:val="24"/>
        </w:rPr>
      </w:pPr>
    </w:p>
    <w:p>
      <w:pPr>
        <w:rPr>
          <w:rFonts w:ascii="宋体" w:hAnsi="宋体" w:cs="宋体"/>
          <w:sz w:val="24"/>
          <w:szCs w:val="24"/>
        </w:rPr>
      </w:pPr>
    </w:p>
    <w:p>
      <w:pPr>
        <w:pStyle w:val="8"/>
        <w:spacing w:before="170"/>
        <w:ind w:right="109"/>
        <w:jc w:val="right"/>
        <w:rPr>
          <w:sz w:val="24"/>
          <w:szCs w:val="24"/>
        </w:rPr>
      </w:pPr>
      <w:r>
        <w:rPr>
          <w:rFonts w:hint="eastAsia"/>
          <w:sz w:val="24"/>
          <w:szCs w:val="24"/>
        </w:rPr>
        <w:t>黄石城发工程咨询</w:t>
      </w:r>
      <w:r>
        <w:rPr>
          <w:sz w:val="24"/>
          <w:szCs w:val="24"/>
        </w:rPr>
        <w:t>有限公司</w:t>
      </w:r>
    </w:p>
    <w:p>
      <w:pPr>
        <w:pStyle w:val="8"/>
        <w:wordWrap w:val="0"/>
        <w:spacing w:before="146"/>
        <w:ind w:right="109"/>
        <w:jc w:val="right"/>
        <w:rPr>
          <w:sz w:val="24"/>
          <w:szCs w:val="24"/>
        </w:rPr>
      </w:pPr>
      <w:r>
        <w:rPr>
          <w:sz w:val="24"/>
          <w:szCs w:val="24"/>
        </w:rPr>
        <w:t>202</w:t>
      </w:r>
      <w:r>
        <w:rPr>
          <w:rFonts w:hint="eastAsia"/>
          <w:sz w:val="24"/>
          <w:szCs w:val="24"/>
        </w:rPr>
        <w:t>2</w:t>
      </w:r>
      <w:r>
        <w:rPr>
          <w:sz w:val="24"/>
          <w:szCs w:val="24"/>
        </w:rPr>
        <w:t>年</w:t>
      </w:r>
      <w:r>
        <w:rPr>
          <w:rFonts w:hint="eastAsia"/>
          <w:sz w:val="24"/>
          <w:szCs w:val="24"/>
          <w:lang w:val="en-US" w:eastAsia="zh-CN"/>
        </w:rPr>
        <w:t>6</w:t>
      </w:r>
      <w:r>
        <w:rPr>
          <w:sz w:val="24"/>
          <w:szCs w:val="24"/>
        </w:rPr>
        <w:t>月</w:t>
      </w:r>
      <w:r>
        <w:rPr>
          <w:rFonts w:hint="eastAsia"/>
          <w:sz w:val="24"/>
          <w:szCs w:val="24"/>
          <w:lang w:val="en-US" w:eastAsia="zh-CN"/>
        </w:rPr>
        <w:t>16</w:t>
      </w:r>
      <w:bookmarkStart w:id="20" w:name="_GoBack"/>
      <w:bookmarkEnd w:id="20"/>
      <w:r>
        <w:rPr>
          <w:sz w:val="24"/>
          <w:szCs w:val="24"/>
        </w:rPr>
        <w:t>日</w:t>
      </w:r>
    </w:p>
    <w:p>
      <w:pPr>
        <w:jc w:val="right"/>
        <w:rPr>
          <w:szCs w:val="21"/>
        </w:rPr>
      </w:pPr>
    </w:p>
    <w:p>
      <w:pPr>
        <w:jc w:val="left"/>
        <w:rPr>
          <w:szCs w:val="21"/>
        </w:rPr>
        <w:sectPr>
          <w:pgSz w:w="11910" w:h="16840"/>
          <w:pgMar w:top="1480" w:right="1420" w:bottom="1420" w:left="1360" w:header="1274" w:footer="1232" w:gutter="0"/>
          <w:cols w:space="720" w:num="1"/>
        </w:sectPr>
      </w:pPr>
      <w:r>
        <w:rPr>
          <w:rFonts w:hint="eastAsia"/>
          <w:szCs w:val="21"/>
        </w:rPr>
        <w:t>附评分办法及报名</w:t>
      </w:r>
    </w:p>
    <w:p>
      <w:pPr>
        <w:jc w:val="center"/>
        <w:rPr>
          <w:rFonts w:ascii="宋体" w:hAnsi="宋体" w:eastAsia="宋体"/>
          <w:b/>
          <w:szCs w:val="21"/>
        </w:rPr>
      </w:pPr>
      <w:r>
        <w:rPr>
          <w:rFonts w:ascii="宋体" w:hAnsi="宋体" w:eastAsia="宋体"/>
          <w:b/>
          <w:szCs w:val="21"/>
        </w:rPr>
        <w:t>报名登记表</w:t>
      </w:r>
    </w:p>
    <w:p>
      <w:pPr>
        <w:jc w:val="center"/>
        <w:rPr>
          <w:rFonts w:ascii="宋体" w:hAnsi="宋体" w:eastAsia="宋体"/>
          <w:szCs w:val="21"/>
        </w:rPr>
      </w:pPr>
    </w:p>
    <w:tbl>
      <w:tblPr>
        <w:tblStyle w:val="17"/>
        <w:tblW w:w="92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7"/>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1987" w:type="dxa"/>
            <w:vAlign w:val="center"/>
          </w:tcPr>
          <w:p>
            <w:pPr>
              <w:jc w:val="center"/>
              <w:rPr>
                <w:szCs w:val="21"/>
              </w:rPr>
            </w:pPr>
            <w:r>
              <w:rPr>
                <w:rFonts w:hint="eastAsia"/>
                <w:szCs w:val="21"/>
              </w:rPr>
              <w:t>项目名称</w:t>
            </w:r>
          </w:p>
        </w:tc>
        <w:tc>
          <w:tcPr>
            <w:tcW w:w="7264" w:type="dxa"/>
            <w:vAlign w:val="center"/>
          </w:tcPr>
          <w:p>
            <w:pPr>
              <w:spacing w:line="480" w:lineRule="exact"/>
              <w:ind w:firstLine="420" w:firstLineChars="200"/>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1987" w:type="dxa"/>
            <w:vAlign w:val="center"/>
          </w:tcPr>
          <w:p>
            <w:pPr>
              <w:jc w:val="center"/>
              <w:rPr>
                <w:szCs w:val="21"/>
              </w:rPr>
            </w:pPr>
            <w:r>
              <w:rPr>
                <w:rFonts w:hint="eastAsia"/>
                <w:szCs w:val="21"/>
              </w:rPr>
              <w:t>报名单位</w:t>
            </w:r>
          </w:p>
        </w:tc>
        <w:tc>
          <w:tcPr>
            <w:tcW w:w="7264" w:type="dxa"/>
            <w:vAlign w:val="center"/>
          </w:tcPr>
          <w:p>
            <w:pPr>
              <w:spacing w:line="480" w:lineRule="exact"/>
              <w:ind w:firstLine="420" w:firstLineChars="200"/>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1987" w:type="dxa"/>
            <w:vAlign w:val="center"/>
          </w:tcPr>
          <w:p>
            <w:pPr>
              <w:jc w:val="center"/>
              <w:rPr>
                <w:szCs w:val="21"/>
              </w:rPr>
            </w:pPr>
            <w:r>
              <w:rPr>
                <w:rFonts w:hint="eastAsia"/>
                <w:szCs w:val="21"/>
              </w:rPr>
              <w:t>报名联系人</w:t>
            </w:r>
          </w:p>
        </w:tc>
        <w:tc>
          <w:tcPr>
            <w:tcW w:w="7264" w:type="dxa"/>
            <w:vAlign w:val="center"/>
          </w:tcPr>
          <w:p>
            <w:pPr>
              <w:spacing w:before="100" w:beforeAutospacing="1" w:after="100" w:afterAutospacing="1"/>
              <w:outlineLvl w:val="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1987" w:type="dxa"/>
            <w:vAlign w:val="center"/>
          </w:tcPr>
          <w:p>
            <w:pPr>
              <w:jc w:val="center"/>
              <w:rPr>
                <w:szCs w:val="21"/>
              </w:rPr>
            </w:pPr>
            <w:r>
              <w:rPr>
                <w:rFonts w:hint="eastAsia"/>
                <w:szCs w:val="21"/>
              </w:rPr>
              <w:t>报名联系人手机</w:t>
            </w:r>
          </w:p>
        </w:tc>
        <w:tc>
          <w:tcPr>
            <w:tcW w:w="7264" w:type="dxa"/>
            <w:vAlign w:val="center"/>
          </w:tcPr>
          <w:p>
            <w:pPr>
              <w:spacing w:before="100" w:beforeAutospacing="1" w:after="100" w:afterAutospacing="1"/>
              <w:jc w:val="center"/>
              <w:outlineLvl w:val="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1987" w:type="dxa"/>
            <w:vAlign w:val="center"/>
          </w:tcPr>
          <w:p>
            <w:pPr>
              <w:jc w:val="center"/>
              <w:rPr>
                <w:szCs w:val="21"/>
              </w:rPr>
            </w:pPr>
            <w:r>
              <w:rPr>
                <w:rFonts w:hint="eastAsia"/>
                <w:szCs w:val="21"/>
              </w:rPr>
              <w:t>报名联系人座机</w:t>
            </w:r>
          </w:p>
        </w:tc>
        <w:tc>
          <w:tcPr>
            <w:tcW w:w="7264" w:type="dxa"/>
            <w:vAlign w:val="center"/>
          </w:tcPr>
          <w:p>
            <w:pPr>
              <w:spacing w:before="100" w:beforeAutospacing="1" w:after="100" w:afterAutospacing="1"/>
              <w:jc w:val="center"/>
              <w:outlineLvl w:val="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1987" w:type="dxa"/>
            <w:vAlign w:val="center"/>
          </w:tcPr>
          <w:p>
            <w:pPr>
              <w:spacing w:line="360" w:lineRule="auto"/>
              <w:jc w:val="center"/>
              <w:rPr>
                <w:szCs w:val="21"/>
              </w:rPr>
            </w:pPr>
            <w:r>
              <w:rPr>
                <w:rFonts w:hint="eastAsia"/>
                <w:szCs w:val="21"/>
              </w:rPr>
              <w:t>报名联系人</w:t>
            </w:r>
          </w:p>
          <w:p>
            <w:pPr>
              <w:spacing w:line="360" w:lineRule="auto"/>
              <w:jc w:val="center"/>
              <w:rPr>
                <w:szCs w:val="21"/>
              </w:rPr>
            </w:pPr>
            <w:r>
              <w:rPr>
                <w:rFonts w:hint="eastAsia"/>
                <w:szCs w:val="21"/>
              </w:rPr>
              <w:t>电子邮箱</w:t>
            </w:r>
          </w:p>
        </w:tc>
        <w:tc>
          <w:tcPr>
            <w:tcW w:w="7264" w:type="dxa"/>
            <w:vAlign w:val="center"/>
          </w:tcPr>
          <w:p>
            <w:pPr>
              <w:spacing w:before="100" w:beforeAutospacing="1" w:after="100" w:afterAutospacing="1"/>
              <w:jc w:val="center"/>
              <w:outlineLvl w:val="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4" w:hRule="atLeast"/>
          <w:jc w:val="center"/>
        </w:trPr>
        <w:tc>
          <w:tcPr>
            <w:tcW w:w="1987" w:type="dxa"/>
            <w:vAlign w:val="center"/>
          </w:tcPr>
          <w:p>
            <w:pPr>
              <w:spacing w:after="240"/>
              <w:jc w:val="center"/>
              <w:rPr>
                <w:szCs w:val="21"/>
              </w:rPr>
            </w:pPr>
            <w:r>
              <w:rPr>
                <w:rFonts w:hint="eastAsia"/>
                <w:szCs w:val="21"/>
              </w:rPr>
              <w:t>投标单位登记须知</w:t>
            </w:r>
          </w:p>
        </w:tc>
        <w:tc>
          <w:tcPr>
            <w:tcW w:w="7264" w:type="dxa"/>
            <w:vAlign w:val="center"/>
          </w:tcPr>
          <w:p>
            <w:pPr>
              <w:spacing w:line="360" w:lineRule="auto"/>
              <w:ind w:firstLine="480" w:firstLineChars="200"/>
              <w:rPr>
                <w:rFonts w:ascii="宋体" w:hAnsi="宋体" w:cs="Calibri"/>
                <w:kern w:val="0"/>
                <w:sz w:val="24"/>
              </w:rPr>
            </w:pPr>
            <w:r>
              <w:rPr>
                <w:rFonts w:hint="eastAsia" w:ascii="宋体" w:hAnsi="宋体" w:cs="宋体"/>
                <w:color w:val="333333"/>
                <w:kern w:val="0"/>
                <w:sz w:val="24"/>
                <w:szCs w:val="24"/>
              </w:rPr>
              <w:t>1、请投标人如实填写《报名登记表》在报名截止前发送至</w:t>
            </w:r>
            <w:r>
              <w:rPr>
                <w:rFonts w:hint="eastAsia" w:ascii="宋体" w:hAnsi="宋体" w:cs="宋体"/>
                <w:color w:val="333333"/>
                <w:kern w:val="0"/>
                <w:sz w:val="24"/>
                <w:szCs w:val="24"/>
                <w:lang w:val="en-US" w:eastAsia="zh-CN"/>
              </w:rPr>
              <w:t>870436423</w:t>
            </w:r>
            <w:r>
              <w:rPr>
                <w:rFonts w:hint="eastAsia" w:ascii="宋体" w:hAnsi="宋体" w:cs="宋体"/>
                <w:color w:val="333333"/>
                <w:kern w:val="0"/>
                <w:sz w:val="24"/>
                <w:szCs w:val="24"/>
              </w:rPr>
              <w:t>@qq.com，并递交300元投标报名费。</w:t>
            </w:r>
          </w:p>
          <w:p>
            <w:pPr>
              <w:spacing w:line="400" w:lineRule="exact"/>
              <w:ind w:firstLine="480" w:firstLineChars="200"/>
              <w:rPr>
                <w:rFonts w:ascii="宋体" w:hAnsi="宋体" w:cs="宋体"/>
                <w:color w:val="333333"/>
                <w:kern w:val="0"/>
                <w:sz w:val="24"/>
                <w:szCs w:val="24"/>
              </w:rPr>
            </w:pPr>
            <w:r>
              <w:rPr>
                <w:rFonts w:hint="eastAsia" w:ascii="宋体" w:hAnsi="宋体" w:cs="宋体"/>
                <w:color w:val="333333"/>
                <w:kern w:val="0"/>
                <w:sz w:val="24"/>
                <w:szCs w:val="24"/>
              </w:rPr>
              <w:t>2、代理公司账户：</w:t>
            </w:r>
          </w:p>
          <w:p>
            <w:pPr>
              <w:spacing w:line="360" w:lineRule="auto"/>
              <w:ind w:firstLine="422" w:firstLineChars="175"/>
              <w:rPr>
                <w:rFonts w:ascii="宋体" w:hAnsi="宋体" w:cs="宋体"/>
                <w:b/>
                <w:bCs/>
                <w:sz w:val="24"/>
                <w:szCs w:val="24"/>
              </w:rPr>
            </w:pPr>
            <w:r>
              <w:rPr>
                <w:rFonts w:hint="eastAsia" w:ascii="宋体" w:hAnsi="宋体" w:cs="宋体"/>
                <w:b/>
                <w:bCs/>
                <w:sz w:val="24"/>
                <w:szCs w:val="24"/>
              </w:rPr>
              <w:t>户名：黄石城发工程咨询有限公司</w:t>
            </w:r>
          </w:p>
          <w:p>
            <w:pPr>
              <w:spacing w:line="360" w:lineRule="auto"/>
              <w:ind w:firstLine="422" w:firstLineChars="175"/>
              <w:rPr>
                <w:rFonts w:ascii="宋体" w:hAnsi="宋体" w:cs="宋体"/>
                <w:b/>
                <w:bCs/>
                <w:sz w:val="24"/>
                <w:szCs w:val="24"/>
              </w:rPr>
            </w:pPr>
            <w:r>
              <w:rPr>
                <w:rFonts w:hint="eastAsia" w:ascii="宋体" w:hAnsi="宋体" w:cs="宋体"/>
                <w:b/>
                <w:bCs/>
                <w:sz w:val="24"/>
                <w:szCs w:val="24"/>
              </w:rPr>
              <w:t>帐号：714903123910101</w:t>
            </w:r>
          </w:p>
          <w:p>
            <w:pPr>
              <w:spacing w:line="360" w:lineRule="auto"/>
              <w:ind w:firstLine="422" w:firstLineChars="175"/>
              <w:rPr>
                <w:rFonts w:ascii="宋体" w:hAnsi="宋体" w:cs="宋体"/>
                <w:b/>
                <w:bCs/>
                <w:sz w:val="24"/>
                <w:szCs w:val="24"/>
              </w:rPr>
            </w:pPr>
            <w:r>
              <w:rPr>
                <w:rFonts w:hint="eastAsia" w:ascii="宋体" w:hAnsi="宋体" w:cs="宋体"/>
                <w:b/>
                <w:bCs/>
                <w:sz w:val="24"/>
                <w:szCs w:val="24"/>
              </w:rPr>
              <w:t>开户行：招商银行股份有限公司黄石分行营业部</w:t>
            </w:r>
          </w:p>
          <w:p>
            <w:pPr>
              <w:spacing w:after="240" w:line="440" w:lineRule="exact"/>
              <w:rPr>
                <w:szCs w:val="21"/>
              </w:rPr>
            </w:pPr>
          </w:p>
        </w:tc>
      </w:tr>
    </w:tbl>
    <w:p>
      <w:pPr>
        <w:rPr>
          <w:rFonts w:hint="eastAsia" w:asciiTheme="minorEastAsia" w:hAnsiTheme="minorEastAsia"/>
          <w:b/>
          <w:szCs w:val="21"/>
        </w:rPr>
      </w:pPr>
    </w:p>
    <w:p>
      <w:pPr>
        <w:rPr>
          <w:rFonts w:hint="eastAsia" w:asciiTheme="minorEastAsia" w:hAnsiTheme="minorEastAsia"/>
          <w:b/>
          <w:szCs w:val="21"/>
        </w:rPr>
      </w:pPr>
      <w:r>
        <w:rPr>
          <w:rFonts w:hint="eastAsia" w:asciiTheme="minorEastAsia" w:hAnsiTheme="minorEastAsia"/>
          <w:b/>
          <w:szCs w:val="21"/>
        </w:rPr>
        <w:br w:type="page"/>
      </w:r>
    </w:p>
    <w:p>
      <w:pPr>
        <w:spacing w:line="360" w:lineRule="auto"/>
        <w:jc w:val="left"/>
        <w:rPr>
          <w:rFonts w:asciiTheme="minorEastAsia" w:hAnsiTheme="minorEastAsia"/>
          <w:b/>
          <w:szCs w:val="21"/>
        </w:rPr>
      </w:pPr>
      <w:r>
        <w:rPr>
          <w:rFonts w:hint="eastAsia" w:asciiTheme="minorEastAsia" w:hAnsiTheme="minorEastAsia"/>
          <w:b/>
          <w:szCs w:val="21"/>
        </w:rPr>
        <w:t>遴选方法及评分标准：</w:t>
      </w:r>
    </w:p>
    <w:p>
      <w:pPr>
        <w:spacing w:line="360" w:lineRule="auto"/>
        <w:ind w:firstLine="420" w:firstLineChars="200"/>
        <w:jc w:val="left"/>
        <w:rPr>
          <w:rFonts w:asciiTheme="minorEastAsia" w:hAnsiTheme="minorEastAsia"/>
          <w:szCs w:val="21"/>
        </w:rPr>
      </w:pPr>
      <w:r>
        <w:rPr>
          <w:rFonts w:hint="eastAsia" w:asciiTheme="minorEastAsia" w:hAnsiTheme="minorEastAsia"/>
          <w:szCs w:val="21"/>
        </w:rPr>
        <w:t>一、本次公开遴选采用综合评分法</w:t>
      </w:r>
    </w:p>
    <w:tbl>
      <w:tblPr>
        <w:tblStyle w:val="16"/>
        <w:tblW w:w="9225" w:type="dxa"/>
        <w:jc w:val="center"/>
        <w:tblLayout w:type="fixed"/>
        <w:tblCellMar>
          <w:top w:w="0" w:type="dxa"/>
          <w:left w:w="0" w:type="dxa"/>
          <w:bottom w:w="0" w:type="dxa"/>
          <w:right w:w="0" w:type="dxa"/>
        </w:tblCellMar>
      </w:tblPr>
      <w:tblGrid>
        <w:gridCol w:w="916"/>
        <w:gridCol w:w="1560"/>
        <w:gridCol w:w="6749"/>
      </w:tblGrid>
      <w:tr>
        <w:tblPrEx>
          <w:tblCellMar>
            <w:top w:w="0" w:type="dxa"/>
            <w:left w:w="0" w:type="dxa"/>
            <w:bottom w:w="0" w:type="dxa"/>
            <w:right w:w="0" w:type="dxa"/>
          </w:tblCellMar>
        </w:tblPrEx>
        <w:trPr>
          <w:trHeight w:val="510" w:hRule="atLeast"/>
          <w:jc w:val="center"/>
        </w:trPr>
        <w:tc>
          <w:tcPr>
            <w:tcW w:w="91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rPr>
            </w:pPr>
            <w:r>
              <w:rPr>
                <w:rFonts w:hint="eastAsia" w:asciiTheme="minorEastAsia" w:hAnsiTheme="minorEastAsia"/>
                <w:b/>
                <w:szCs w:val="21"/>
              </w:rPr>
              <w:t>序号</w:t>
            </w:r>
          </w:p>
        </w:tc>
        <w:tc>
          <w:tcPr>
            <w:tcW w:w="15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rPr>
            </w:pPr>
            <w:r>
              <w:rPr>
                <w:rFonts w:hint="eastAsia" w:asciiTheme="minorEastAsia" w:hAnsiTheme="minorEastAsia"/>
                <w:b/>
                <w:szCs w:val="21"/>
              </w:rPr>
              <w:t>评分因素</w:t>
            </w:r>
          </w:p>
        </w:tc>
        <w:tc>
          <w:tcPr>
            <w:tcW w:w="67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rPr>
            </w:pPr>
            <w:r>
              <w:rPr>
                <w:rFonts w:hint="eastAsia" w:asciiTheme="minorEastAsia" w:hAnsiTheme="minorEastAsia"/>
                <w:b/>
                <w:szCs w:val="21"/>
              </w:rPr>
              <w:t>评分标准</w:t>
            </w:r>
          </w:p>
        </w:tc>
      </w:tr>
      <w:tr>
        <w:tblPrEx>
          <w:tblCellMar>
            <w:top w:w="0" w:type="dxa"/>
            <w:left w:w="0" w:type="dxa"/>
            <w:bottom w:w="0" w:type="dxa"/>
            <w:right w:w="0" w:type="dxa"/>
          </w:tblCellMar>
        </w:tblPrEx>
        <w:trPr>
          <w:trHeight w:val="557" w:hRule="atLeast"/>
          <w:jc w:val="center"/>
        </w:trPr>
        <w:tc>
          <w:tcPr>
            <w:tcW w:w="91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rPr>
            </w:pPr>
            <w:r>
              <w:rPr>
                <w:rFonts w:hint="eastAsia" w:asciiTheme="minorEastAsia" w:hAnsiTheme="minorEastAsia"/>
                <w:b/>
                <w:szCs w:val="21"/>
              </w:rPr>
              <w:t>1</w:t>
            </w:r>
          </w:p>
        </w:tc>
        <w:tc>
          <w:tcPr>
            <w:tcW w:w="830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rPr>
            </w:pPr>
            <w:r>
              <w:rPr>
                <w:rFonts w:hint="eastAsia" w:asciiTheme="minorEastAsia" w:hAnsiTheme="minorEastAsia"/>
                <w:b/>
                <w:szCs w:val="21"/>
              </w:rPr>
              <w:t>价格部分30分</w:t>
            </w:r>
          </w:p>
        </w:tc>
      </w:tr>
      <w:tr>
        <w:tblPrEx>
          <w:tblCellMar>
            <w:top w:w="0" w:type="dxa"/>
            <w:left w:w="0" w:type="dxa"/>
            <w:bottom w:w="0" w:type="dxa"/>
            <w:right w:w="0" w:type="dxa"/>
          </w:tblCellMar>
        </w:tblPrEx>
        <w:trPr>
          <w:trHeight w:val="510" w:hRule="atLeast"/>
          <w:jc w:val="center"/>
        </w:trPr>
        <w:tc>
          <w:tcPr>
            <w:tcW w:w="2476"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Theme="minorEastAsia" w:hAnsiTheme="minorEastAsia"/>
                <w:szCs w:val="21"/>
              </w:rPr>
            </w:pPr>
            <w:r>
              <w:rPr>
                <w:rFonts w:hint="eastAsia" w:asciiTheme="minorEastAsia" w:hAnsiTheme="minorEastAsia"/>
                <w:szCs w:val="21"/>
              </w:rPr>
              <w:t>报价得分</w:t>
            </w:r>
            <w:r>
              <w:rPr>
                <w:rFonts w:hint="eastAsia" w:asciiTheme="minorEastAsia" w:hAnsiTheme="minorEastAsia"/>
                <w:szCs w:val="21"/>
                <w:lang w:val="en-US" w:eastAsia="zh-CN"/>
              </w:rPr>
              <w:t>40</w:t>
            </w:r>
            <w:r>
              <w:rPr>
                <w:rFonts w:hint="eastAsia" w:asciiTheme="minorEastAsia" w:hAnsiTheme="minorEastAsia"/>
                <w:szCs w:val="21"/>
              </w:rPr>
              <w:t>分</w:t>
            </w:r>
          </w:p>
        </w:tc>
        <w:tc>
          <w:tcPr>
            <w:tcW w:w="6749" w:type="dxa"/>
            <w:tcBorders>
              <w:top w:val="single" w:color="000000" w:sz="4" w:space="0"/>
              <w:left w:val="single" w:color="000000" w:sz="4" w:space="0"/>
              <w:bottom w:val="single" w:color="000000" w:sz="4" w:space="0"/>
              <w:right w:val="single" w:color="000000" w:sz="4" w:space="0"/>
            </w:tcBorders>
            <w:vAlign w:val="center"/>
          </w:tcPr>
          <w:p>
            <w:pPr>
              <w:pStyle w:val="35"/>
              <w:jc w:val="both"/>
              <w:rPr>
                <w:rFonts w:hint="eastAsia" w:asciiTheme="minorEastAsia" w:hAnsiTheme="minorEastAsia" w:eastAsiaTheme="minorEastAsia"/>
                <w:sz w:val="21"/>
                <w:szCs w:val="21"/>
                <w:lang w:val="zh-CN"/>
              </w:rPr>
            </w:pPr>
            <w:r>
              <w:rPr>
                <w:rFonts w:hint="eastAsia" w:asciiTheme="minorEastAsia" w:hAnsiTheme="minorEastAsia" w:eastAsiaTheme="minorEastAsia"/>
                <w:sz w:val="21"/>
                <w:szCs w:val="21"/>
                <w:highlight w:val="none"/>
                <w:lang w:val="zh-CN" w:eastAsia="zh-CN"/>
              </w:rPr>
              <w:t>1、满足招标文件规定且在招标控制价以内的有效报价得基本分</w:t>
            </w:r>
            <w:r>
              <w:rPr>
                <w:rFonts w:hint="eastAsia" w:asciiTheme="minorEastAsia" w:hAnsiTheme="minorEastAsia" w:eastAsiaTheme="minorEastAsia"/>
                <w:sz w:val="21"/>
                <w:szCs w:val="21"/>
                <w:highlight w:val="none"/>
                <w:lang w:val="en-US" w:eastAsia="zh-CN"/>
              </w:rPr>
              <w:t>20</w:t>
            </w:r>
            <w:r>
              <w:rPr>
                <w:rFonts w:hint="eastAsia" w:asciiTheme="minorEastAsia" w:hAnsiTheme="minorEastAsia" w:eastAsiaTheme="minorEastAsia"/>
                <w:sz w:val="21"/>
                <w:szCs w:val="21"/>
                <w:highlight w:val="none"/>
                <w:lang w:val="zh-CN" w:eastAsia="zh-CN"/>
              </w:rPr>
              <w:t>分</w:t>
            </w:r>
          </w:p>
          <w:p>
            <w:pPr>
              <w:pStyle w:val="35"/>
              <w:jc w:val="both"/>
              <w:rPr>
                <w:rFonts w:asciiTheme="minorEastAsia" w:hAnsiTheme="minorEastAsia"/>
                <w:szCs w:val="21"/>
              </w:rPr>
            </w:pPr>
            <w:r>
              <w:rPr>
                <w:rFonts w:hint="eastAsia" w:asciiTheme="minorEastAsia" w:hAnsiTheme="minorEastAsia" w:eastAsiaTheme="minorEastAsia"/>
                <w:sz w:val="21"/>
                <w:szCs w:val="21"/>
                <w:lang w:val="en-US" w:eastAsia="zh-CN"/>
              </w:rPr>
              <w:t>2、</w:t>
            </w:r>
            <w:r>
              <w:rPr>
                <w:rFonts w:hint="eastAsia" w:asciiTheme="minorEastAsia" w:hAnsiTheme="minorEastAsia" w:eastAsiaTheme="minorEastAsia"/>
                <w:sz w:val="21"/>
                <w:szCs w:val="21"/>
                <w:lang w:val="zh-CN"/>
              </w:rPr>
              <w:t>基准价为评审合格的投标人投标报价去掉一个最高价、一个最低价的平均值（少于5家的，直接取平均值）。投标人报价比评标基准价每高出1%扣1分，扣完为止；投标人报价比评标基准价每低1%扣0.5分，扣完为止；由此得出各投标人的投标报价得分（保留小数点后两位数字，第三位四舍五入），投标价得分的计算方法：</w:t>
            </w:r>
            <w:r>
              <w:rPr>
                <w:rFonts w:hint="eastAsia" w:asciiTheme="minorEastAsia" w:hAnsiTheme="minorEastAsia" w:eastAsiaTheme="minorEastAsia"/>
                <w:sz w:val="21"/>
                <w:szCs w:val="21"/>
                <w:lang w:val="en-US" w:eastAsia="zh-CN"/>
              </w:rPr>
              <w:t>20</w:t>
            </w:r>
            <w:r>
              <w:rPr>
                <w:rFonts w:hint="eastAsia" w:asciiTheme="minorEastAsia" w:hAnsiTheme="minorEastAsia" w:eastAsiaTheme="minorEastAsia"/>
                <w:sz w:val="21"/>
                <w:szCs w:val="21"/>
                <w:lang w:val="zh-CN"/>
              </w:rPr>
              <w:t>-丨（评标基准价-投标人报价）/评标基准价丨×100×E，E取值1或0.5。</w:t>
            </w:r>
          </w:p>
        </w:tc>
      </w:tr>
      <w:tr>
        <w:tblPrEx>
          <w:tblCellMar>
            <w:top w:w="0" w:type="dxa"/>
            <w:left w:w="0" w:type="dxa"/>
            <w:bottom w:w="0" w:type="dxa"/>
            <w:right w:w="0" w:type="dxa"/>
          </w:tblCellMar>
        </w:tblPrEx>
        <w:trPr>
          <w:trHeight w:val="380" w:hRule="atLeast"/>
          <w:jc w:val="center"/>
        </w:trPr>
        <w:tc>
          <w:tcPr>
            <w:tcW w:w="916"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rPr>
            </w:pPr>
            <w:r>
              <w:rPr>
                <w:rFonts w:hint="eastAsia" w:asciiTheme="minorEastAsia" w:hAnsiTheme="minorEastAsia"/>
                <w:b/>
                <w:szCs w:val="21"/>
              </w:rPr>
              <w:t>2</w:t>
            </w:r>
          </w:p>
        </w:tc>
        <w:tc>
          <w:tcPr>
            <w:tcW w:w="830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szCs w:val="21"/>
              </w:rPr>
            </w:pPr>
            <w:r>
              <w:rPr>
                <w:rFonts w:hint="eastAsia" w:asciiTheme="minorEastAsia" w:hAnsiTheme="minorEastAsia"/>
                <w:b/>
                <w:szCs w:val="21"/>
              </w:rPr>
              <w:t>商务部分35分</w:t>
            </w:r>
          </w:p>
        </w:tc>
      </w:tr>
      <w:tr>
        <w:tblPrEx>
          <w:tblCellMar>
            <w:top w:w="0" w:type="dxa"/>
            <w:left w:w="0" w:type="dxa"/>
            <w:bottom w:w="0" w:type="dxa"/>
            <w:right w:w="0" w:type="dxa"/>
          </w:tblCellMar>
        </w:tblPrEx>
        <w:trPr>
          <w:trHeight w:val="410"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rPr>
            </w:pPr>
          </w:p>
        </w:tc>
        <w:tc>
          <w:tcPr>
            <w:tcW w:w="15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rPr>
            </w:pPr>
            <w:r>
              <w:rPr>
                <w:rFonts w:hint="eastAsia" w:asciiTheme="minorEastAsia" w:hAnsiTheme="minorEastAsia"/>
                <w:b/>
                <w:szCs w:val="21"/>
              </w:rPr>
              <w:t>评分因素</w:t>
            </w:r>
          </w:p>
        </w:tc>
        <w:tc>
          <w:tcPr>
            <w:tcW w:w="67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rPr>
            </w:pPr>
            <w:r>
              <w:rPr>
                <w:rFonts w:hint="eastAsia" w:asciiTheme="minorEastAsia" w:hAnsiTheme="minorEastAsia"/>
                <w:b/>
                <w:szCs w:val="21"/>
              </w:rPr>
              <w:t>评分标准</w:t>
            </w:r>
          </w:p>
        </w:tc>
      </w:tr>
      <w:tr>
        <w:tblPrEx>
          <w:tblCellMar>
            <w:top w:w="0" w:type="dxa"/>
            <w:left w:w="0" w:type="dxa"/>
            <w:bottom w:w="0" w:type="dxa"/>
            <w:right w:w="0" w:type="dxa"/>
          </w:tblCellMar>
        </w:tblPrEx>
        <w:trPr>
          <w:trHeight w:val="1233" w:hRule="atLeast"/>
          <w:jc w:val="center"/>
        </w:trPr>
        <w:tc>
          <w:tcPr>
            <w:tcW w:w="916" w:type="dxa"/>
            <w:vMerge w:val="restart"/>
            <w:tcBorders>
              <w:top w:val="single" w:color="000000" w:sz="4" w:space="0"/>
              <w:left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hint="default" w:asciiTheme="minorEastAsia" w:hAnsiTheme="minorEastAsia" w:eastAsiaTheme="minorEastAsia"/>
                <w:szCs w:val="21"/>
                <w:lang w:val="en-US" w:eastAsia="zh-CN"/>
              </w:rPr>
            </w:pPr>
            <w:r>
              <w:rPr>
                <w:rFonts w:hint="eastAsia" w:asciiTheme="minorEastAsia" w:hAnsiTheme="minorEastAsia"/>
                <w:szCs w:val="21"/>
                <w:lang w:val="en-US" w:eastAsia="zh-CN"/>
              </w:rPr>
              <w:t>商务部分45分</w:t>
            </w:r>
          </w:p>
        </w:tc>
        <w:tc>
          <w:tcPr>
            <w:tcW w:w="15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hint="default" w:asciiTheme="minorEastAsia" w:hAnsiTheme="minorEastAsia" w:eastAsiaTheme="minorEastAsia"/>
                <w:szCs w:val="21"/>
                <w:lang w:val="en-US" w:eastAsia="zh-CN"/>
              </w:rPr>
            </w:pPr>
            <w:r>
              <w:rPr>
                <w:rFonts w:hint="eastAsia" w:asciiTheme="minorEastAsia" w:hAnsiTheme="minorEastAsia"/>
                <w:szCs w:val="21"/>
              </w:rPr>
              <w:t>类似业绩1</w:t>
            </w:r>
            <w:r>
              <w:rPr>
                <w:rFonts w:hint="eastAsia" w:asciiTheme="minorEastAsia" w:hAnsiTheme="minorEastAsia"/>
                <w:szCs w:val="21"/>
                <w:lang w:val="en-US" w:eastAsia="zh-CN"/>
              </w:rPr>
              <w:t>6分</w:t>
            </w:r>
          </w:p>
        </w:tc>
        <w:tc>
          <w:tcPr>
            <w:tcW w:w="67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szCs w:val="21"/>
              </w:rPr>
            </w:pPr>
            <w:r>
              <w:rPr>
                <w:rFonts w:hint="eastAsia" w:asciiTheme="minorEastAsia" w:hAnsiTheme="minorEastAsia" w:eastAsiaTheme="minorEastAsia"/>
                <w:sz w:val="21"/>
                <w:szCs w:val="21"/>
              </w:rPr>
              <w:t>投标人近三年（201</w:t>
            </w:r>
            <w:r>
              <w:rPr>
                <w:rFonts w:hint="eastAsia" w:asciiTheme="minorEastAsia" w:hAnsiTheme="minorEastAsia"/>
                <w:sz w:val="21"/>
                <w:szCs w:val="21"/>
                <w:lang w:val="en-US" w:eastAsia="zh-CN"/>
              </w:rPr>
              <w:t>9</w:t>
            </w:r>
            <w:r>
              <w:rPr>
                <w:rFonts w:hint="eastAsia" w:asciiTheme="minorEastAsia" w:hAnsiTheme="minorEastAsia" w:eastAsiaTheme="minorEastAsia"/>
                <w:sz w:val="21"/>
                <w:szCs w:val="21"/>
              </w:rPr>
              <w:t>年</w:t>
            </w:r>
            <w:r>
              <w:rPr>
                <w:rFonts w:hint="eastAsia" w:asciiTheme="minorEastAsia" w:hAnsiTheme="minorEastAsia"/>
                <w:sz w:val="21"/>
                <w:szCs w:val="21"/>
                <w:lang w:val="en-US" w:eastAsia="zh-CN"/>
              </w:rPr>
              <w:t>1月至今</w:t>
            </w:r>
            <w:r>
              <w:rPr>
                <w:rFonts w:hint="eastAsia" w:asciiTheme="minorEastAsia" w:hAnsiTheme="minorEastAsia" w:eastAsiaTheme="minorEastAsia"/>
                <w:sz w:val="21"/>
                <w:szCs w:val="21"/>
              </w:rPr>
              <w:t>）</w:t>
            </w:r>
            <w:r>
              <w:rPr>
                <w:rFonts w:hint="eastAsia" w:ascii="宋体" w:hAnsi="宋体" w:cs="宋体"/>
                <w:kern w:val="0"/>
                <w:sz w:val="24"/>
                <w:szCs w:val="24"/>
              </w:rPr>
              <w:t>承担过</w:t>
            </w:r>
            <w:r>
              <w:rPr>
                <w:rFonts w:hint="eastAsia" w:ascii="宋体" w:hAnsi="宋体" w:cs="宋体"/>
                <w:kern w:val="0"/>
                <w:sz w:val="24"/>
                <w:szCs w:val="24"/>
                <w:lang w:val="en-US" w:eastAsia="zh-CN"/>
              </w:rPr>
              <w:t>10</w:t>
            </w:r>
            <w:r>
              <w:rPr>
                <w:rFonts w:hint="eastAsia" w:ascii="宋体" w:hAnsi="宋体" w:cs="宋体"/>
                <w:kern w:val="0"/>
                <w:sz w:val="24"/>
                <w:szCs w:val="24"/>
                <w:highlight w:val="yellow"/>
              </w:rPr>
              <w:t>万元及以上</w:t>
            </w:r>
            <w:r>
              <w:rPr>
                <w:rFonts w:hint="eastAsia" w:ascii="宋体" w:hAnsi="宋体" w:cs="宋体"/>
                <w:kern w:val="0"/>
                <w:sz w:val="24"/>
                <w:szCs w:val="24"/>
                <w:highlight w:val="yellow"/>
                <w:lang w:eastAsia="zh-CN"/>
              </w:rPr>
              <w:t>或</w:t>
            </w:r>
            <w:r>
              <w:rPr>
                <w:rFonts w:hint="eastAsia" w:ascii="宋体" w:hAnsi="宋体" w:cs="宋体"/>
                <w:kern w:val="0"/>
                <w:sz w:val="24"/>
                <w:szCs w:val="24"/>
                <w:highlight w:val="yellow"/>
                <w:lang w:val="en-US" w:eastAsia="zh-CN"/>
              </w:rPr>
              <w:t>150万㎡及以上</w:t>
            </w:r>
            <w:r>
              <w:rPr>
                <w:rFonts w:hint="eastAsia" w:ascii="宋体" w:hAnsi="宋体" w:cs="宋体"/>
                <w:kern w:val="0"/>
                <w:sz w:val="24"/>
                <w:szCs w:val="24"/>
                <w:highlight w:val="yellow"/>
              </w:rPr>
              <w:t>的工程</w:t>
            </w:r>
            <w:r>
              <w:rPr>
                <w:rFonts w:hint="eastAsia" w:ascii="宋体" w:hAnsi="宋体" w:cs="宋体"/>
                <w:kern w:val="0"/>
                <w:sz w:val="24"/>
                <w:szCs w:val="24"/>
                <w:highlight w:val="yellow"/>
                <w:lang w:val="en-US" w:eastAsia="zh-CN"/>
              </w:rPr>
              <w:t>测量</w:t>
            </w:r>
            <w:r>
              <w:rPr>
                <w:rFonts w:hint="eastAsia" w:ascii="宋体" w:hAnsi="宋体" w:cs="宋体"/>
                <w:kern w:val="0"/>
                <w:sz w:val="24"/>
                <w:szCs w:val="24"/>
                <w:highlight w:val="yellow"/>
              </w:rPr>
              <w:t>相关业绩</w:t>
            </w:r>
            <w:r>
              <w:rPr>
                <w:rFonts w:hint="eastAsia" w:asciiTheme="minorEastAsia" w:hAnsiTheme="minorEastAsia" w:eastAsiaTheme="minorEastAsia"/>
                <w:sz w:val="21"/>
                <w:szCs w:val="21"/>
              </w:rPr>
              <w:t>，每提供一个得</w:t>
            </w:r>
            <w:r>
              <w:rPr>
                <w:rFonts w:hint="eastAsia" w:asciiTheme="minorEastAsia" w:hAnsiTheme="minorEastAsia"/>
                <w:sz w:val="21"/>
                <w:szCs w:val="21"/>
                <w:lang w:val="en-US" w:eastAsia="zh-CN"/>
              </w:rPr>
              <w:t>4</w:t>
            </w:r>
            <w:r>
              <w:rPr>
                <w:rFonts w:hint="eastAsia" w:asciiTheme="minorEastAsia" w:hAnsiTheme="minorEastAsia" w:eastAsiaTheme="minorEastAsia"/>
                <w:sz w:val="21"/>
                <w:szCs w:val="21"/>
              </w:rPr>
              <w:t>分，最多得</w:t>
            </w:r>
            <w:r>
              <w:rPr>
                <w:rFonts w:hint="eastAsia" w:asciiTheme="minorEastAsia" w:hAnsiTheme="minorEastAsia"/>
                <w:sz w:val="21"/>
                <w:szCs w:val="21"/>
                <w:lang w:val="en-US" w:eastAsia="zh-CN"/>
              </w:rPr>
              <w:t>16</w:t>
            </w:r>
            <w:r>
              <w:rPr>
                <w:rFonts w:hint="eastAsia" w:asciiTheme="minorEastAsia" w:hAnsiTheme="minorEastAsia" w:eastAsiaTheme="minorEastAsia"/>
                <w:sz w:val="21"/>
                <w:szCs w:val="21"/>
              </w:rPr>
              <w:t>分。（提供中标通知书或勘察合同证明资料的复印件，并加盖公章。）</w:t>
            </w:r>
          </w:p>
        </w:tc>
      </w:tr>
      <w:tr>
        <w:tblPrEx>
          <w:tblCellMar>
            <w:top w:w="0" w:type="dxa"/>
            <w:left w:w="0" w:type="dxa"/>
            <w:bottom w:w="0" w:type="dxa"/>
            <w:right w:w="0" w:type="dxa"/>
          </w:tblCellMar>
        </w:tblPrEx>
        <w:trPr>
          <w:trHeight w:val="1393" w:hRule="atLeast"/>
          <w:jc w:val="center"/>
        </w:trPr>
        <w:tc>
          <w:tcPr>
            <w:tcW w:w="916" w:type="dxa"/>
            <w:vMerge w:val="continue"/>
            <w:tcBorders>
              <w:left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szCs w:val="21"/>
              </w:rPr>
            </w:pPr>
          </w:p>
        </w:tc>
        <w:tc>
          <w:tcPr>
            <w:tcW w:w="15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szCs w:val="21"/>
              </w:rPr>
            </w:pPr>
            <w:r>
              <w:rPr>
                <w:rFonts w:hint="eastAsia" w:asciiTheme="minorEastAsia" w:hAnsiTheme="minorEastAsia"/>
                <w:szCs w:val="21"/>
              </w:rPr>
              <w:t>项目负责人</w:t>
            </w:r>
            <w:r>
              <w:rPr>
                <w:rFonts w:hint="eastAsia" w:asciiTheme="minorEastAsia" w:hAnsiTheme="minorEastAsia"/>
                <w:szCs w:val="21"/>
                <w:lang w:val="en-US" w:eastAsia="zh-CN"/>
              </w:rPr>
              <w:t>6</w:t>
            </w:r>
            <w:r>
              <w:rPr>
                <w:rFonts w:hint="eastAsia" w:asciiTheme="minorEastAsia" w:hAnsiTheme="minorEastAsia"/>
                <w:szCs w:val="21"/>
              </w:rPr>
              <w:t>分</w:t>
            </w:r>
          </w:p>
        </w:tc>
        <w:tc>
          <w:tcPr>
            <w:tcW w:w="67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eastAsia" w:asciiTheme="minorEastAsia" w:hAnsiTheme="minorEastAsia"/>
                <w:szCs w:val="21"/>
              </w:rPr>
            </w:pPr>
            <w:r>
              <w:rPr>
                <w:rFonts w:hint="eastAsia" w:asciiTheme="minorEastAsia" w:hAnsiTheme="minorEastAsia"/>
                <w:szCs w:val="21"/>
              </w:rPr>
              <w:t>1）项目负责人具有测绘专业</w:t>
            </w:r>
            <w:r>
              <w:rPr>
                <w:rFonts w:hint="eastAsia" w:asciiTheme="minorEastAsia" w:hAnsiTheme="minorEastAsia"/>
                <w:szCs w:val="21"/>
                <w:lang w:eastAsia="zh-CN"/>
              </w:rPr>
              <w:t>中</w:t>
            </w:r>
            <w:r>
              <w:rPr>
                <w:rFonts w:hint="eastAsia" w:asciiTheme="minorEastAsia" w:hAnsiTheme="minorEastAsia"/>
                <w:szCs w:val="21"/>
              </w:rPr>
              <w:t>级</w:t>
            </w:r>
            <w:r>
              <w:rPr>
                <w:rFonts w:hint="eastAsia" w:asciiTheme="minorEastAsia" w:hAnsiTheme="minorEastAsia"/>
                <w:szCs w:val="21"/>
                <w:lang w:eastAsia="zh-CN"/>
              </w:rPr>
              <w:t>及以上</w:t>
            </w:r>
            <w:r>
              <w:rPr>
                <w:rFonts w:hint="eastAsia" w:asciiTheme="minorEastAsia" w:hAnsiTheme="minorEastAsia"/>
                <w:szCs w:val="21"/>
              </w:rPr>
              <w:t>工程师资格的得3分；</w:t>
            </w:r>
          </w:p>
          <w:p>
            <w:pPr>
              <w:jc w:val="left"/>
              <w:rPr>
                <w:rFonts w:hint="eastAsia" w:asciiTheme="minorEastAsia" w:hAnsiTheme="minorEastAsia"/>
                <w:szCs w:val="21"/>
              </w:rPr>
            </w:pPr>
            <w:r>
              <w:rPr>
                <w:rFonts w:hint="eastAsia" w:asciiTheme="minorEastAsia" w:hAnsiTheme="minorEastAsia"/>
                <w:szCs w:val="21"/>
              </w:rPr>
              <w:t>2）项目负责人具备行政主管部门颁发的国家注册测绘师资格的得3分。</w:t>
            </w:r>
          </w:p>
          <w:p>
            <w:pPr>
              <w:jc w:val="left"/>
              <w:rPr>
                <w:rFonts w:asciiTheme="minorEastAsia" w:hAnsiTheme="minorEastAsia"/>
                <w:szCs w:val="21"/>
              </w:rPr>
            </w:pPr>
            <w:r>
              <w:rPr>
                <w:rFonts w:hint="eastAsia" w:asciiTheme="minorEastAsia" w:hAnsiTheme="minorEastAsia"/>
                <w:szCs w:val="21"/>
              </w:rPr>
              <w:t>注：提供相关证书证明文件复印件，否则不得分。提供开标前连续3个月社保证明原件扫描件。</w:t>
            </w:r>
          </w:p>
        </w:tc>
      </w:tr>
      <w:tr>
        <w:tblPrEx>
          <w:tblCellMar>
            <w:top w:w="0" w:type="dxa"/>
            <w:left w:w="0" w:type="dxa"/>
            <w:bottom w:w="0" w:type="dxa"/>
            <w:right w:w="0" w:type="dxa"/>
          </w:tblCellMar>
        </w:tblPrEx>
        <w:trPr>
          <w:trHeight w:val="1052" w:hRule="atLeast"/>
          <w:jc w:val="center"/>
        </w:trPr>
        <w:tc>
          <w:tcPr>
            <w:tcW w:w="916" w:type="dxa"/>
            <w:vMerge w:val="continue"/>
            <w:tcBorders>
              <w:left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szCs w:val="21"/>
              </w:rPr>
            </w:pPr>
          </w:p>
        </w:tc>
        <w:tc>
          <w:tcPr>
            <w:tcW w:w="15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szCs w:val="21"/>
              </w:rPr>
            </w:pPr>
            <w:r>
              <w:rPr>
                <w:rFonts w:hint="eastAsia" w:asciiTheme="minorEastAsia" w:hAnsiTheme="minorEastAsia"/>
                <w:szCs w:val="21"/>
              </w:rPr>
              <w:t>拟派人员</w:t>
            </w:r>
            <w:r>
              <w:rPr>
                <w:rFonts w:hint="eastAsia" w:asciiTheme="minorEastAsia" w:hAnsiTheme="minorEastAsia"/>
                <w:szCs w:val="21"/>
                <w:lang w:val="en-US" w:eastAsia="zh-CN"/>
              </w:rPr>
              <w:t>15</w:t>
            </w:r>
            <w:r>
              <w:rPr>
                <w:rFonts w:hint="eastAsia" w:asciiTheme="minorEastAsia" w:hAnsiTheme="minorEastAsia"/>
                <w:szCs w:val="21"/>
              </w:rPr>
              <w:t>分</w:t>
            </w:r>
          </w:p>
        </w:tc>
        <w:tc>
          <w:tcPr>
            <w:tcW w:w="67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hint="eastAsia" w:asciiTheme="minorEastAsia" w:hAnsiTheme="minorEastAsia"/>
                <w:szCs w:val="21"/>
              </w:rPr>
            </w:pPr>
            <w:r>
              <w:rPr>
                <w:rFonts w:hint="eastAsia" w:asciiTheme="minorEastAsia" w:hAnsiTheme="minorEastAsia"/>
                <w:szCs w:val="21"/>
              </w:rPr>
              <w:t>1、拟派的项目团队成员中具有</w:t>
            </w:r>
            <w:r>
              <w:rPr>
                <w:rFonts w:hint="eastAsia" w:asciiTheme="minorEastAsia" w:hAnsiTheme="minorEastAsia"/>
                <w:szCs w:val="21"/>
                <w:lang w:val="en-US" w:eastAsia="zh-CN"/>
              </w:rPr>
              <w:t>测绘</w:t>
            </w:r>
            <w:r>
              <w:rPr>
                <w:rFonts w:hint="eastAsia" w:asciiTheme="minorEastAsia" w:hAnsiTheme="minorEastAsia"/>
                <w:szCs w:val="21"/>
              </w:rPr>
              <w:t>专业中级及以上职称</w:t>
            </w:r>
            <w:r>
              <w:rPr>
                <w:rFonts w:hint="eastAsia" w:asciiTheme="minorEastAsia" w:hAnsiTheme="minorEastAsia"/>
                <w:szCs w:val="21"/>
                <w:lang w:val="en-US" w:eastAsia="zh-CN"/>
              </w:rPr>
              <w:t>或具有</w:t>
            </w:r>
            <w:r>
              <w:rPr>
                <w:rFonts w:hint="eastAsia" w:asciiTheme="minorEastAsia" w:hAnsiTheme="minorEastAsia"/>
                <w:szCs w:val="21"/>
              </w:rPr>
              <w:t>注册测绘师资格</w:t>
            </w:r>
            <w:r>
              <w:rPr>
                <w:rFonts w:hint="eastAsia" w:asciiTheme="minorEastAsia" w:hAnsiTheme="minorEastAsia"/>
                <w:szCs w:val="21"/>
                <w:lang w:val="en-US" w:eastAsia="zh-CN"/>
              </w:rPr>
              <w:t>的</w:t>
            </w:r>
            <w:r>
              <w:rPr>
                <w:rFonts w:hint="eastAsia" w:asciiTheme="minorEastAsia" w:hAnsiTheme="minorEastAsia"/>
                <w:szCs w:val="21"/>
              </w:rPr>
              <w:t>，每提供一个得</w:t>
            </w:r>
            <w:r>
              <w:rPr>
                <w:rFonts w:hint="eastAsia" w:asciiTheme="minorEastAsia" w:hAnsiTheme="minorEastAsia"/>
                <w:szCs w:val="21"/>
                <w:lang w:val="en-US" w:eastAsia="zh-CN"/>
              </w:rPr>
              <w:t>5</w:t>
            </w:r>
            <w:r>
              <w:rPr>
                <w:rFonts w:hint="eastAsia" w:asciiTheme="minorEastAsia" w:hAnsiTheme="minorEastAsia"/>
                <w:szCs w:val="21"/>
              </w:rPr>
              <w:t>分，最多得</w:t>
            </w:r>
            <w:r>
              <w:rPr>
                <w:rFonts w:hint="eastAsia" w:asciiTheme="minorEastAsia" w:hAnsiTheme="minorEastAsia"/>
                <w:szCs w:val="21"/>
                <w:lang w:val="en-US" w:eastAsia="zh-CN"/>
              </w:rPr>
              <w:t>15</w:t>
            </w:r>
            <w:r>
              <w:rPr>
                <w:rFonts w:hint="eastAsia" w:asciiTheme="minorEastAsia" w:hAnsiTheme="minorEastAsia"/>
                <w:szCs w:val="21"/>
              </w:rPr>
              <w:t>分，项目负责人除外。</w:t>
            </w:r>
          </w:p>
          <w:p>
            <w:pPr>
              <w:jc w:val="left"/>
              <w:rPr>
                <w:rFonts w:asciiTheme="minorEastAsia" w:hAnsiTheme="minorEastAsia"/>
                <w:szCs w:val="21"/>
              </w:rPr>
            </w:pPr>
            <w:r>
              <w:rPr>
                <w:rFonts w:hint="eastAsia" w:asciiTheme="minorEastAsia" w:hAnsiTheme="minorEastAsia"/>
                <w:szCs w:val="21"/>
              </w:rPr>
              <w:t xml:space="preserve">（提供近三个月社保证明复印件、职称证书复印件并加盖公章） </w:t>
            </w:r>
          </w:p>
        </w:tc>
      </w:tr>
      <w:tr>
        <w:tblPrEx>
          <w:tblCellMar>
            <w:top w:w="0" w:type="dxa"/>
            <w:left w:w="0" w:type="dxa"/>
            <w:bottom w:w="0" w:type="dxa"/>
            <w:right w:w="0" w:type="dxa"/>
          </w:tblCellMar>
        </w:tblPrEx>
        <w:trPr>
          <w:trHeight w:val="1342" w:hRule="atLeast"/>
          <w:jc w:val="center"/>
        </w:trPr>
        <w:tc>
          <w:tcPr>
            <w:tcW w:w="916" w:type="dxa"/>
            <w:vMerge w:val="continue"/>
            <w:tcBorders>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szCs w:val="21"/>
              </w:rPr>
            </w:pPr>
          </w:p>
        </w:tc>
        <w:tc>
          <w:tcPr>
            <w:tcW w:w="15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00" w:lineRule="exact"/>
              <w:jc w:val="center"/>
              <w:rPr>
                <w:rFonts w:hint="eastAsia" w:ascii="宋体" w:hAnsi="宋体"/>
                <w:szCs w:val="21"/>
              </w:rPr>
            </w:pPr>
            <w:r>
              <w:rPr>
                <w:rFonts w:hint="eastAsia" w:ascii="宋体" w:hAnsi="宋体"/>
                <w:szCs w:val="21"/>
              </w:rPr>
              <w:t>信用</w:t>
            </w:r>
          </w:p>
          <w:p>
            <w:pPr>
              <w:spacing w:line="400" w:lineRule="exact"/>
              <w:jc w:val="center"/>
              <w:rPr>
                <w:rFonts w:hint="eastAsia" w:asciiTheme="minorEastAsia" w:hAnsiTheme="minorEastAsia"/>
                <w:szCs w:val="21"/>
              </w:rPr>
            </w:pPr>
            <w:r>
              <w:rPr>
                <w:rFonts w:hint="eastAsia" w:ascii="宋体" w:hAnsi="宋体"/>
                <w:szCs w:val="21"/>
                <w:lang w:val="en-US" w:eastAsia="zh-CN"/>
              </w:rPr>
              <w:t>8</w:t>
            </w:r>
            <w:r>
              <w:rPr>
                <w:rFonts w:hint="eastAsia" w:ascii="宋体" w:hAnsi="宋体"/>
                <w:szCs w:val="21"/>
              </w:rPr>
              <w:t>分</w:t>
            </w:r>
          </w:p>
        </w:tc>
        <w:tc>
          <w:tcPr>
            <w:tcW w:w="67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djustRightInd w:val="0"/>
              <w:snapToGrid w:val="0"/>
              <w:spacing w:line="400" w:lineRule="exact"/>
              <w:rPr>
                <w:rFonts w:hint="eastAsia" w:ascii="宋体" w:hAnsi="宋体"/>
                <w:kern w:val="0"/>
                <w:szCs w:val="21"/>
              </w:rPr>
            </w:pPr>
            <w:r>
              <w:rPr>
                <w:rFonts w:hint="eastAsia" w:ascii="宋体" w:hAnsi="宋体"/>
                <w:kern w:val="0"/>
                <w:szCs w:val="21"/>
              </w:rPr>
              <w:t>未受到行政监管部门做出行政处罚的得</w:t>
            </w:r>
            <w:r>
              <w:rPr>
                <w:rFonts w:hint="eastAsia" w:ascii="宋体" w:hAnsi="宋体"/>
                <w:kern w:val="0"/>
                <w:szCs w:val="21"/>
                <w:lang w:val="en-US" w:eastAsia="zh-CN"/>
              </w:rPr>
              <w:t>8</w:t>
            </w:r>
            <w:r>
              <w:rPr>
                <w:rFonts w:hint="eastAsia" w:ascii="宋体" w:hAnsi="宋体"/>
                <w:kern w:val="0"/>
                <w:szCs w:val="21"/>
              </w:rPr>
              <w:t>分；有一项扣</w:t>
            </w:r>
            <w:r>
              <w:rPr>
                <w:rFonts w:hint="eastAsia" w:ascii="宋体" w:hAnsi="宋体"/>
                <w:kern w:val="0"/>
                <w:szCs w:val="21"/>
                <w:lang w:val="en-US" w:eastAsia="zh-CN"/>
              </w:rPr>
              <w:t>2</w:t>
            </w:r>
            <w:r>
              <w:rPr>
                <w:rFonts w:hint="eastAsia" w:ascii="宋体" w:hAnsi="宋体"/>
                <w:kern w:val="0"/>
                <w:szCs w:val="21"/>
              </w:rPr>
              <w:t>分，扣完为止。（查询结果以评标委员会开标当天在“信用中国”查询</w:t>
            </w:r>
            <w:r>
              <w:rPr>
                <w:rFonts w:hint="eastAsia" w:ascii="宋体" w:hAnsi="宋体"/>
                <w:kern w:val="0"/>
                <w:szCs w:val="21"/>
                <w:lang w:eastAsia="zh-CN"/>
              </w:rPr>
              <w:t>为准</w:t>
            </w:r>
            <w:r>
              <w:rPr>
                <w:rFonts w:hint="eastAsia" w:ascii="宋体" w:hAnsi="宋体"/>
                <w:kern w:val="0"/>
                <w:szCs w:val="21"/>
              </w:rPr>
              <w:t>）不重复扣分，扣完为止。</w:t>
            </w:r>
          </w:p>
          <w:p>
            <w:pPr>
              <w:adjustRightInd w:val="0"/>
              <w:snapToGrid w:val="0"/>
              <w:spacing w:line="400" w:lineRule="exact"/>
              <w:rPr>
                <w:rFonts w:hint="eastAsia" w:asciiTheme="minorEastAsia" w:hAnsiTheme="minorEastAsia"/>
                <w:szCs w:val="21"/>
              </w:rPr>
            </w:pPr>
            <w:r>
              <w:rPr>
                <w:rFonts w:hint="eastAsia" w:ascii="宋体" w:hAnsi="宋体"/>
                <w:kern w:val="0"/>
                <w:szCs w:val="21"/>
              </w:rPr>
              <w:t>注：行政处罚是指投标人因违法经营受到刑事处罚或者责令停产、停业整顿、吊销许可证或者执照、较大数额罚款等行政处罚。</w:t>
            </w:r>
          </w:p>
        </w:tc>
      </w:tr>
      <w:tr>
        <w:tblPrEx>
          <w:tblCellMar>
            <w:top w:w="0" w:type="dxa"/>
            <w:left w:w="0" w:type="dxa"/>
            <w:bottom w:w="0" w:type="dxa"/>
            <w:right w:w="0" w:type="dxa"/>
          </w:tblCellMar>
        </w:tblPrEx>
        <w:trPr>
          <w:trHeight w:val="551" w:hRule="atLeast"/>
          <w:jc w:val="center"/>
        </w:trPr>
        <w:tc>
          <w:tcPr>
            <w:tcW w:w="916"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rPr>
            </w:pPr>
            <w:r>
              <w:rPr>
                <w:rFonts w:hint="eastAsia" w:asciiTheme="minorEastAsia" w:hAnsiTheme="minorEastAsia"/>
                <w:b/>
                <w:szCs w:val="21"/>
              </w:rPr>
              <w:t>3</w:t>
            </w:r>
          </w:p>
        </w:tc>
        <w:tc>
          <w:tcPr>
            <w:tcW w:w="830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Theme="minorEastAsia" w:hAnsiTheme="minorEastAsia"/>
                <w:b/>
                <w:szCs w:val="21"/>
              </w:rPr>
            </w:pPr>
            <w:r>
              <w:rPr>
                <w:rFonts w:hint="eastAsia" w:asciiTheme="minorEastAsia" w:hAnsiTheme="minorEastAsia"/>
                <w:b/>
                <w:szCs w:val="21"/>
              </w:rPr>
              <w:t>技术部分35分</w:t>
            </w:r>
          </w:p>
        </w:tc>
      </w:tr>
      <w:tr>
        <w:tblPrEx>
          <w:tblCellMar>
            <w:top w:w="0" w:type="dxa"/>
            <w:left w:w="0" w:type="dxa"/>
            <w:bottom w:w="0" w:type="dxa"/>
            <w:right w:w="0" w:type="dxa"/>
          </w:tblCellMar>
        </w:tblPrEx>
        <w:trPr>
          <w:trHeight w:val="341" w:hRule="atLeast"/>
          <w:jc w:val="center"/>
        </w:trPr>
        <w:tc>
          <w:tcPr>
            <w:tcW w:w="916"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rPr>
            </w:pPr>
          </w:p>
        </w:tc>
        <w:tc>
          <w:tcPr>
            <w:tcW w:w="15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b/>
                <w:szCs w:val="21"/>
              </w:rPr>
            </w:pPr>
            <w:r>
              <w:rPr>
                <w:rFonts w:hint="eastAsia" w:asciiTheme="minorEastAsia" w:hAnsiTheme="minorEastAsia"/>
                <w:b/>
                <w:szCs w:val="21"/>
              </w:rPr>
              <w:t>评分因素</w:t>
            </w:r>
          </w:p>
        </w:tc>
        <w:tc>
          <w:tcPr>
            <w:tcW w:w="67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Theme="minorEastAsia" w:hAnsiTheme="minorEastAsia"/>
                <w:b/>
                <w:szCs w:val="21"/>
              </w:rPr>
            </w:pPr>
            <w:r>
              <w:rPr>
                <w:rFonts w:hint="eastAsia" w:asciiTheme="minorEastAsia" w:hAnsiTheme="minorEastAsia"/>
                <w:b/>
                <w:szCs w:val="21"/>
              </w:rPr>
              <w:t>评分标准</w:t>
            </w:r>
          </w:p>
        </w:tc>
      </w:tr>
      <w:tr>
        <w:tblPrEx>
          <w:tblCellMar>
            <w:top w:w="0" w:type="dxa"/>
            <w:left w:w="0" w:type="dxa"/>
            <w:bottom w:w="0" w:type="dxa"/>
            <w:right w:w="0" w:type="dxa"/>
          </w:tblCellMar>
        </w:tblPrEx>
        <w:trPr>
          <w:trHeight w:val="856" w:hRule="atLeast"/>
          <w:jc w:val="center"/>
        </w:trPr>
        <w:tc>
          <w:tcPr>
            <w:tcW w:w="916" w:type="dxa"/>
            <w:vMerge w:val="restart"/>
            <w:tcBorders>
              <w:top w:val="single" w:color="000000" w:sz="4" w:space="0"/>
              <w:left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hint="default" w:asciiTheme="minorEastAsia" w:hAnsiTheme="minorEastAsia" w:eastAsiaTheme="minorEastAsia"/>
                <w:szCs w:val="21"/>
                <w:lang w:val="en-US" w:eastAsia="zh-CN"/>
              </w:rPr>
            </w:pPr>
            <w:r>
              <w:rPr>
                <w:rFonts w:hint="eastAsia" w:ascii="宋体" w:hAnsi="宋体" w:eastAsia="宋体" w:cs="宋体"/>
                <w:color w:val="auto"/>
                <w:sz w:val="24"/>
                <w:szCs w:val="24"/>
                <w:highlight w:val="none"/>
                <w:lang w:val="en-US" w:eastAsia="zh-CN" w:bidi="ar"/>
              </w:rPr>
              <w:t>技术方案15分</w:t>
            </w:r>
          </w:p>
        </w:tc>
        <w:tc>
          <w:tcPr>
            <w:tcW w:w="1560" w:type="dxa"/>
            <w:tcBorders>
              <w:top w:val="single" w:color="000000" w:sz="4" w:space="0"/>
              <w:left w:val="single" w:color="000000" w:sz="4" w:space="0"/>
              <w:right w:val="single" w:color="000000" w:sz="4" w:space="0"/>
            </w:tcBorders>
            <w:tcMar>
              <w:top w:w="0" w:type="dxa"/>
              <w:left w:w="108" w:type="dxa"/>
              <w:bottom w:w="0" w:type="dxa"/>
              <w:right w:w="108" w:type="dxa"/>
            </w:tcMar>
            <w:vAlign w:val="center"/>
          </w:tcPr>
          <w:p>
            <w:pPr>
              <w:spacing w:line="360" w:lineRule="exact"/>
              <w:jc w:val="center"/>
              <w:rPr>
                <w:rFonts w:hint="eastAsia"/>
              </w:rPr>
            </w:pPr>
            <w:r>
              <w:rPr>
                <w:rFonts w:hint="eastAsia"/>
              </w:rPr>
              <w:t>测量服务方案</w:t>
            </w:r>
          </w:p>
          <w:p>
            <w:pPr>
              <w:pStyle w:val="2"/>
              <w:rPr>
                <w:rFonts w:hint="default" w:eastAsia="宋体"/>
                <w:lang w:val="en-US" w:eastAsia="zh-CN"/>
              </w:rPr>
            </w:pPr>
            <w:r>
              <w:rPr>
                <w:rFonts w:hint="eastAsia" w:cs="宋体"/>
                <w:kern w:val="0"/>
                <w:szCs w:val="21"/>
                <w:lang w:val="en-US" w:eastAsia="zh-CN"/>
              </w:rPr>
              <w:t>5分</w:t>
            </w:r>
          </w:p>
        </w:tc>
        <w:tc>
          <w:tcPr>
            <w:tcW w:w="6749" w:type="dxa"/>
            <w:tcBorders>
              <w:top w:val="single" w:color="000000" w:sz="4" w:space="0"/>
              <w:left w:val="single" w:color="000000" w:sz="4" w:space="0"/>
              <w:right w:val="single" w:color="000000" w:sz="4" w:space="0"/>
            </w:tcBorders>
            <w:tcMar>
              <w:top w:w="0" w:type="dxa"/>
              <w:left w:w="108" w:type="dxa"/>
              <w:bottom w:w="0" w:type="dxa"/>
              <w:right w:w="108" w:type="dxa"/>
            </w:tcMar>
            <w:vAlign w:val="center"/>
          </w:tcPr>
          <w:p>
            <w:pPr>
              <w:spacing w:line="360" w:lineRule="exact"/>
              <w:jc w:val="left"/>
              <w:rPr>
                <w:rFonts w:asciiTheme="minorEastAsia" w:hAnsiTheme="minorEastAsia"/>
                <w:szCs w:val="21"/>
              </w:rPr>
            </w:pPr>
            <w:r>
              <w:rPr>
                <w:rFonts w:hint="eastAsia" w:ascii="宋体" w:hAnsi="宋体" w:cs="宋体"/>
                <w:kern w:val="0"/>
                <w:szCs w:val="21"/>
              </w:rPr>
              <w:t>投标人结合项目实际情况编制测量方案，测量方案应包含但不限于工程概况、风险识别及分析、目的依据、测量管理体系、测量对象、测量项目、测点布置、测量方法及精度、测量频率、测量周期、测量预警、成果处理、信息反馈、测量人员及设备、质量安全管理等内容。结合本工程情况编写专项测量方案。科学、合理、针对性强</w:t>
            </w:r>
            <w:r>
              <w:rPr>
                <w:rFonts w:hint="eastAsia" w:ascii="宋体" w:hAnsi="宋体" w:cs="宋体"/>
                <w:kern w:val="0"/>
                <w:szCs w:val="21"/>
                <w:lang w:val="en-US" w:eastAsia="zh-CN"/>
              </w:rPr>
              <w:t>得5-3分；</w:t>
            </w:r>
            <w:r>
              <w:rPr>
                <w:rFonts w:hint="eastAsia" w:ascii="宋体" w:hAnsi="宋体" w:cs="宋体"/>
                <w:kern w:val="0"/>
                <w:szCs w:val="21"/>
              </w:rPr>
              <w:t>合理、可行</w:t>
            </w:r>
            <w:r>
              <w:rPr>
                <w:rFonts w:hint="eastAsia" w:ascii="宋体" w:hAnsi="宋体" w:cs="宋体"/>
                <w:kern w:val="0"/>
                <w:szCs w:val="21"/>
                <w:lang w:val="en-US" w:eastAsia="zh-CN"/>
              </w:rPr>
              <w:t>得3-2分</w:t>
            </w:r>
            <w:r>
              <w:rPr>
                <w:rFonts w:hint="eastAsia" w:ascii="宋体" w:hAnsi="宋体" w:cs="宋体"/>
                <w:kern w:val="0"/>
                <w:szCs w:val="21"/>
                <w:lang w:eastAsia="zh-CN"/>
              </w:rPr>
              <w:t>；</w:t>
            </w:r>
            <w:r>
              <w:rPr>
                <w:rFonts w:hint="eastAsia" w:ascii="宋体" w:hAnsi="宋体" w:cs="宋体"/>
                <w:kern w:val="0"/>
                <w:szCs w:val="21"/>
              </w:rPr>
              <w:t>基本可行</w:t>
            </w:r>
            <w:r>
              <w:rPr>
                <w:rFonts w:hint="eastAsia" w:ascii="宋体" w:hAnsi="宋体" w:cs="宋体"/>
                <w:kern w:val="0"/>
                <w:szCs w:val="21"/>
                <w:lang w:val="en-US" w:eastAsia="zh-CN"/>
              </w:rPr>
              <w:t>得2-0分</w:t>
            </w:r>
            <w:r>
              <w:rPr>
                <w:rFonts w:hint="eastAsia" w:ascii="宋体" w:hAnsi="宋体" w:cs="宋体"/>
                <w:kern w:val="0"/>
                <w:szCs w:val="21"/>
                <w:lang w:eastAsia="zh-CN"/>
              </w:rPr>
              <w:t>，</w:t>
            </w:r>
            <w:r>
              <w:rPr>
                <w:rFonts w:hint="eastAsia" w:ascii="宋体" w:hAnsi="宋体" w:cs="宋体"/>
                <w:kern w:val="0"/>
                <w:szCs w:val="21"/>
              </w:rPr>
              <w:t>不可行，不能满足工程需要</w:t>
            </w:r>
            <w:r>
              <w:rPr>
                <w:rFonts w:hint="eastAsia" w:ascii="宋体" w:hAnsi="宋体" w:cs="宋体"/>
                <w:kern w:val="0"/>
                <w:szCs w:val="21"/>
                <w:lang w:val="en-US" w:eastAsia="zh-CN"/>
              </w:rPr>
              <w:t>的不得分。</w:t>
            </w:r>
          </w:p>
        </w:tc>
      </w:tr>
      <w:tr>
        <w:tblPrEx>
          <w:tblCellMar>
            <w:top w:w="0" w:type="dxa"/>
            <w:left w:w="0" w:type="dxa"/>
            <w:bottom w:w="0" w:type="dxa"/>
            <w:right w:w="0" w:type="dxa"/>
          </w:tblCellMar>
        </w:tblPrEx>
        <w:trPr>
          <w:trHeight w:val="750" w:hRule="atLeast"/>
          <w:jc w:val="center"/>
        </w:trPr>
        <w:tc>
          <w:tcPr>
            <w:tcW w:w="916" w:type="dxa"/>
            <w:vMerge w:val="continue"/>
            <w:tcBorders>
              <w:left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szCs w:val="21"/>
              </w:rPr>
            </w:pPr>
          </w:p>
        </w:tc>
        <w:tc>
          <w:tcPr>
            <w:tcW w:w="15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exact"/>
              <w:jc w:val="center"/>
              <w:rPr>
                <w:rFonts w:hint="default" w:ascii="宋体" w:hAnsi="宋体" w:cs="宋体" w:eastAsiaTheme="minorEastAsia"/>
                <w:color w:val="000000"/>
                <w:kern w:val="0"/>
                <w:szCs w:val="21"/>
                <w:lang w:val="en-US" w:eastAsia="zh-CN"/>
              </w:rPr>
            </w:pPr>
            <w:r>
              <w:rPr>
                <w:rFonts w:hint="eastAsia" w:ascii="宋体" w:hAnsi="宋体" w:cs="宋体"/>
                <w:kern w:val="0"/>
                <w:szCs w:val="21"/>
              </w:rPr>
              <w:t>测量保证措施</w:t>
            </w:r>
            <w:r>
              <w:rPr>
                <w:rFonts w:hint="eastAsia" w:ascii="宋体" w:hAnsi="宋体" w:cs="宋体"/>
                <w:kern w:val="0"/>
                <w:szCs w:val="21"/>
                <w:lang w:val="en-US" w:eastAsia="zh-CN"/>
              </w:rPr>
              <w:t>4分</w:t>
            </w:r>
          </w:p>
        </w:tc>
        <w:tc>
          <w:tcPr>
            <w:tcW w:w="67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360" w:lineRule="exact"/>
              <w:jc w:val="left"/>
              <w:rPr>
                <w:rFonts w:asciiTheme="minorEastAsia" w:hAnsiTheme="minorEastAsia"/>
                <w:szCs w:val="21"/>
              </w:rPr>
            </w:pPr>
            <w:r>
              <w:rPr>
                <w:rFonts w:hint="eastAsia" w:ascii="宋体" w:hAnsi="宋体" w:cs="宋体"/>
                <w:kern w:val="0"/>
                <w:szCs w:val="21"/>
              </w:rPr>
              <w:t>巡视、测量管理质量、安全、进度保证措施，内容齐全，符合本项目实际，可操作</w:t>
            </w:r>
            <w:r>
              <w:rPr>
                <w:rFonts w:hint="eastAsia" w:ascii="宋体" w:hAnsi="宋体" w:cs="宋体"/>
                <w:kern w:val="0"/>
                <w:szCs w:val="21"/>
                <w:lang w:eastAsia="zh-CN"/>
              </w:rPr>
              <w:t>。优秀得</w:t>
            </w:r>
            <w:r>
              <w:rPr>
                <w:rFonts w:hint="eastAsia" w:ascii="宋体" w:hAnsi="宋体" w:cs="宋体"/>
                <w:kern w:val="0"/>
                <w:szCs w:val="21"/>
                <w:lang w:val="en-US" w:eastAsia="zh-CN"/>
              </w:rPr>
              <w:t>4-3</w:t>
            </w:r>
            <w:r>
              <w:rPr>
                <w:rFonts w:hint="eastAsia" w:ascii="宋体" w:hAnsi="宋体" w:cs="宋体"/>
                <w:kern w:val="0"/>
                <w:szCs w:val="21"/>
                <w:lang w:eastAsia="zh-CN"/>
              </w:rPr>
              <w:t>分，良好</w:t>
            </w:r>
            <w:r>
              <w:rPr>
                <w:rFonts w:hint="eastAsia" w:ascii="宋体" w:hAnsi="宋体" w:cs="宋体"/>
                <w:kern w:val="0"/>
                <w:szCs w:val="21"/>
                <w:lang w:val="en-US" w:eastAsia="zh-CN"/>
              </w:rPr>
              <w:t>3-1</w:t>
            </w:r>
            <w:r>
              <w:rPr>
                <w:rFonts w:hint="eastAsia" w:ascii="宋体" w:hAnsi="宋体" w:cs="宋体"/>
                <w:kern w:val="0"/>
                <w:szCs w:val="21"/>
                <w:lang w:eastAsia="zh-CN"/>
              </w:rPr>
              <w:t>分，一般得 0-1 分；</w:t>
            </w:r>
          </w:p>
        </w:tc>
      </w:tr>
      <w:tr>
        <w:tblPrEx>
          <w:tblCellMar>
            <w:top w:w="0" w:type="dxa"/>
            <w:left w:w="0" w:type="dxa"/>
            <w:bottom w:w="0" w:type="dxa"/>
            <w:right w:w="0" w:type="dxa"/>
          </w:tblCellMar>
        </w:tblPrEx>
        <w:trPr>
          <w:trHeight w:val="978" w:hRule="atLeast"/>
          <w:jc w:val="center"/>
        </w:trPr>
        <w:tc>
          <w:tcPr>
            <w:tcW w:w="916" w:type="dxa"/>
            <w:vMerge w:val="continue"/>
            <w:tcBorders>
              <w:left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szCs w:val="21"/>
              </w:rPr>
            </w:pPr>
          </w:p>
        </w:tc>
        <w:tc>
          <w:tcPr>
            <w:tcW w:w="15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40" w:lineRule="exact"/>
              <w:jc w:val="center"/>
              <w:rPr>
                <w:rFonts w:hint="default" w:ascii="宋体" w:hAnsi="宋体" w:cs="宋体" w:eastAsiaTheme="minorEastAsia"/>
                <w:color w:val="000000"/>
                <w:szCs w:val="21"/>
                <w:lang w:val="en-US" w:eastAsia="zh-CN"/>
              </w:rPr>
            </w:pPr>
            <w:r>
              <w:rPr>
                <w:rFonts w:hint="eastAsia" w:ascii="宋体" w:hAnsi="宋体" w:cs="宋体"/>
                <w:kern w:val="0"/>
                <w:szCs w:val="21"/>
              </w:rPr>
              <w:t>测量设备配备情况</w:t>
            </w:r>
            <w:r>
              <w:rPr>
                <w:rFonts w:hint="eastAsia" w:ascii="宋体" w:hAnsi="宋体" w:cs="宋体"/>
                <w:kern w:val="0"/>
                <w:szCs w:val="21"/>
                <w:lang w:val="en-US" w:eastAsia="zh-CN"/>
              </w:rPr>
              <w:t>3分</w:t>
            </w:r>
          </w:p>
        </w:tc>
        <w:tc>
          <w:tcPr>
            <w:tcW w:w="67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pacing w:line="440" w:lineRule="exact"/>
              <w:jc w:val="left"/>
              <w:rPr>
                <w:rFonts w:asciiTheme="minorEastAsia" w:hAnsiTheme="minorEastAsia"/>
                <w:szCs w:val="21"/>
              </w:rPr>
            </w:pPr>
            <w:r>
              <w:rPr>
                <w:rFonts w:hint="eastAsia" w:ascii="宋体" w:hAnsi="宋体" w:cs="宋体"/>
                <w:kern w:val="0"/>
                <w:szCs w:val="21"/>
              </w:rPr>
              <w:t>测量仪器设备配备情况，项目投入设备满足项目需求且功能齐全，投入先进仪器的。</w:t>
            </w:r>
            <w:r>
              <w:rPr>
                <w:rFonts w:hint="eastAsia" w:ascii="宋体" w:hAnsi="宋体" w:cs="宋体"/>
                <w:kern w:val="0"/>
                <w:szCs w:val="21"/>
                <w:lang w:eastAsia="zh-CN"/>
              </w:rPr>
              <w:t>优秀得</w:t>
            </w:r>
            <w:r>
              <w:rPr>
                <w:rFonts w:hint="eastAsia" w:ascii="宋体" w:hAnsi="宋体" w:cs="宋体"/>
                <w:kern w:val="0"/>
                <w:szCs w:val="21"/>
                <w:lang w:val="en-US" w:eastAsia="zh-CN"/>
              </w:rPr>
              <w:t>3-2</w:t>
            </w:r>
            <w:r>
              <w:rPr>
                <w:rFonts w:hint="eastAsia" w:ascii="宋体" w:hAnsi="宋体" w:cs="宋体"/>
                <w:kern w:val="0"/>
                <w:szCs w:val="21"/>
                <w:lang w:eastAsia="zh-CN"/>
              </w:rPr>
              <w:t>分，良好</w:t>
            </w:r>
            <w:r>
              <w:rPr>
                <w:rFonts w:hint="eastAsia" w:ascii="宋体" w:hAnsi="宋体" w:cs="宋体"/>
                <w:kern w:val="0"/>
                <w:szCs w:val="21"/>
                <w:lang w:val="en-US" w:eastAsia="zh-CN"/>
              </w:rPr>
              <w:t>2</w:t>
            </w:r>
            <w:r>
              <w:rPr>
                <w:rFonts w:hint="eastAsia" w:ascii="宋体" w:hAnsi="宋体" w:cs="宋体"/>
                <w:kern w:val="0"/>
                <w:szCs w:val="21"/>
                <w:lang w:eastAsia="zh-CN"/>
              </w:rPr>
              <w:t>-</w:t>
            </w:r>
            <w:r>
              <w:rPr>
                <w:rFonts w:hint="eastAsia" w:ascii="宋体" w:hAnsi="宋体" w:cs="宋体"/>
                <w:kern w:val="0"/>
                <w:szCs w:val="21"/>
                <w:lang w:val="en-US" w:eastAsia="zh-CN"/>
              </w:rPr>
              <w:t>3</w:t>
            </w:r>
            <w:r>
              <w:rPr>
                <w:rFonts w:hint="eastAsia" w:ascii="宋体" w:hAnsi="宋体" w:cs="宋体"/>
                <w:kern w:val="0"/>
                <w:szCs w:val="21"/>
                <w:lang w:eastAsia="zh-CN"/>
              </w:rPr>
              <w:t xml:space="preserve"> 分，一般得 0-1 分；</w:t>
            </w:r>
          </w:p>
        </w:tc>
      </w:tr>
      <w:tr>
        <w:tblPrEx>
          <w:tblCellMar>
            <w:top w:w="0" w:type="dxa"/>
            <w:left w:w="0" w:type="dxa"/>
            <w:bottom w:w="0" w:type="dxa"/>
            <w:right w:w="0" w:type="dxa"/>
          </w:tblCellMar>
        </w:tblPrEx>
        <w:trPr>
          <w:trHeight w:val="1024" w:hRule="atLeast"/>
          <w:jc w:val="center"/>
        </w:trPr>
        <w:tc>
          <w:tcPr>
            <w:tcW w:w="916" w:type="dxa"/>
            <w:vMerge w:val="continue"/>
            <w:tcBorders>
              <w:left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asciiTheme="minorEastAsia" w:hAnsiTheme="minorEastAsia"/>
                <w:szCs w:val="21"/>
              </w:rPr>
            </w:pPr>
          </w:p>
        </w:tc>
        <w:tc>
          <w:tcPr>
            <w:tcW w:w="15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exact"/>
              <w:jc w:val="center"/>
              <w:rPr>
                <w:rFonts w:hint="eastAsia" w:ascii="宋体" w:hAnsi="宋体" w:cs="宋体"/>
                <w:kern w:val="0"/>
                <w:szCs w:val="21"/>
              </w:rPr>
            </w:pPr>
            <w:r>
              <w:rPr>
                <w:rFonts w:hint="eastAsia" w:ascii="宋体" w:hAnsi="宋体" w:cs="宋体"/>
                <w:kern w:val="0"/>
                <w:szCs w:val="21"/>
              </w:rPr>
              <w:t>测量人员工作</w:t>
            </w:r>
          </w:p>
          <w:p>
            <w:pPr>
              <w:spacing w:line="360" w:lineRule="exact"/>
              <w:jc w:val="center"/>
              <w:rPr>
                <w:rFonts w:hint="default" w:ascii="宋体" w:hAnsi="宋体" w:eastAsiaTheme="minorEastAsia"/>
                <w:color w:val="000000"/>
                <w:szCs w:val="21"/>
                <w:lang w:val="en-US" w:eastAsia="zh-CN"/>
              </w:rPr>
            </w:pPr>
            <w:r>
              <w:rPr>
                <w:rFonts w:hint="eastAsia" w:ascii="宋体" w:hAnsi="宋体" w:cs="宋体"/>
                <w:kern w:val="0"/>
                <w:szCs w:val="21"/>
              </w:rPr>
              <w:t>计划安排</w:t>
            </w:r>
            <w:r>
              <w:rPr>
                <w:rFonts w:hint="eastAsia" w:ascii="宋体" w:hAnsi="宋体" w:cs="宋体"/>
                <w:kern w:val="0"/>
                <w:szCs w:val="21"/>
                <w:lang w:val="en-US" w:eastAsia="zh-CN"/>
              </w:rPr>
              <w:t>3分</w:t>
            </w:r>
          </w:p>
        </w:tc>
        <w:tc>
          <w:tcPr>
            <w:tcW w:w="674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exact"/>
              <w:rPr>
                <w:rFonts w:hint="eastAsia" w:asciiTheme="minorEastAsia" w:hAnsiTheme="minorEastAsia" w:eastAsiaTheme="minorEastAsia"/>
                <w:szCs w:val="21"/>
                <w:lang w:val="en-US" w:eastAsia="zh-CN"/>
              </w:rPr>
            </w:pPr>
            <w:r>
              <w:rPr>
                <w:rFonts w:ascii="宋体" w:hAnsi="宋体"/>
                <w:szCs w:val="21"/>
              </w:rPr>
              <w:t>工作计划</w:t>
            </w:r>
            <w:r>
              <w:rPr>
                <w:rFonts w:hint="eastAsia" w:ascii="宋体" w:hAnsi="宋体"/>
                <w:szCs w:val="21"/>
              </w:rPr>
              <w:t>合理、</w:t>
            </w:r>
            <w:r>
              <w:rPr>
                <w:rFonts w:ascii="宋体" w:hAnsi="宋体"/>
                <w:szCs w:val="21"/>
              </w:rPr>
              <w:t>满足工程需</w:t>
            </w:r>
            <w:r>
              <w:rPr>
                <w:rFonts w:hint="eastAsia" w:ascii="宋体" w:hAnsi="宋体"/>
                <w:szCs w:val="21"/>
              </w:rPr>
              <w:t>要、针对性强</w:t>
            </w:r>
            <w:r>
              <w:rPr>
                <w:rFonts w:hint="eastAsia" w:ascii="宋体" w:hAnsi="宋体"/>
                <w:szCs w:val="21"/>
                <w:lang w:val="en-US" w:eastAsia="zh-CN"/>
              </w:rPr>
              <w:t>得3-2分；</w:t>
            </w:r>
            <w:r>
              <w:rPr>
                <w:rFonts w:ascii="宋体" w:hAnsi="宋体"/>
                <w:szCs w:val="21"/>
              </w:rPr>
              <w:t>工作计划</w:t>
            </w:r>
            <w:r>
              <w:rPr>
                <w:rFonts w:hint="eastAsia" w:ascii="宋体" w:hAnsi="宋体"/>
                <w:szCs w:val="21"/>
              </w:rPr>
              <w:t>基本合理，基本</w:t>
            </w:r>
            <w:r>
              <w:rPr>
                <w:rFonts w:ascii="宋体" w:hAnsi="宋体"/>
                <w:szCs w:val="21"/>
              </w:rPr>
              <w:t>满足工程需</w:t>
            </w:r>
            <w:r>
              <w:rPr>
                <w:rFonts w:hint="eastAsia" w:ascii="宋体" w:hAnsi="宋体"/>
                <w:szCs w:val="21"/>
              </w:rPr>
              <w:t>要</w:t>
            </w:r>
            <w:r>
              <w:rPr>
                <w:rFonts w:hint="eastAsia" w:ascii="宋体" w:hAnsi="宋体"/>
                <w:szCs w:val="21"/>
                <w:lang w:val="en-US" w:eastAsia="zh-CN"/>
              </w:rPr>
              <w:t>得2-1分；</w:t>
            </w:r>
            <w:r>
              <w:rPr>
                <w:rFonts w:ascii="宋体" w:hAnsi="宋体"/>
                <w:szCs w:val="21"/>
              </w:rPr>
              <w:t>工作计划</w:t>
            </w:r>
            <w:r>
              <w:rPr>
                <w:rFonts w:hint="eastAsia" w:ascii="宋体" w:hAnsi="宋体"/>
                <w:szCs w:val="21"/>
              </w:rPr>
              <w:t>一</w:t>
            </w:r>
            <w:r>
              <w:rPr>
                <w:rFonts w:ascii="宋体" w:hAnsi="宋体"/>
                <w:szCs w:val="21"/>
              </w:rPr>
              <w:t>般</w:t>
            </w:r>
            <w:r>
              <w:rPr>
                <w:rFonts w:hint="eastAsia" w:ascii="宋体" w:hAnsi="宋体"/>
                <w:szCs w:val="21"/>
                <w:lang w:val="en-US" w:eastAsia="zh-CN"/>
              </w:rPr>
              <w:t>得1-0分</w:t>
            </w:r>
            <w:r>
              <w:rPr>
                <w:rFonts w:hint="eastAsia" w:ascii="宋体" w:hAnsi="宋体"/>
                <w:szCs w:val="21"/>
              </w:rPr>
              <w:t xml:space="preserve"> </w:t>
            </w:r>
            <w:r>
              <w:rPr>
                <w:rFonts w:hint="eastAsia" w:ascii="宋体" w:hAnsi="宋体"/>
                <w:szCs w:val="21"/>
                <w:lang w:eastAsia="zh-CN"/>
              </w:rPr>
              <w:t>；</w:t>
            </w:r>
            <w:r>
              <w:rPr>
                <w:rFonts w:hint="eastAsia" w:ascii="宋体" w:hAnsi="宋体"/>
                <w:szCs w:val="21"/>
              </w:rPr>
              <w:t>不</w:t>
            </w:r>
            <w:r>
              <w:rPr>
                <w:rFonts w:ascii="宋体" w:hAnsi="宋体"/>
                <w:szCs w:val="21"/>
              </w:rPr>
              <w:t>可行</w:t>
            </w:r>
            <w:r>
              <w:rPr>
                <w:rFonts w:hint="eastAsia" w:ascii="宋体" w:hAnsi="宋体"/>
                <w:szCs w:val="21"/>
                <w:lang w:val="en-US" w:eastAsia="zh-CN"/>
              </w:rPr>
              <w:t>不得分。</w:t>
            </w:r>
          </w:p>
        </w:tc>
      </w:tr>
    </w:tbl>
    <w:p>
      <w:pPr>
        <w:spacing w:line="360" w:lineRule="auto"/>
        <w:ind w:firstLine="420" w:firstLineChars="200"/>
        <w:jc w:val="left"/>
        <w:rPr>
          <w:rFonts w:asciiTheme="minorEastAsia" w:hAnsiTheme="minorEastAsia"/>
          <w:szCs w:val="21"/>
        </w:rPr>
      </w:pPr>
      <w:r>
        <w:rPr>
          <w:rFonts w:hint="eastAsia" w:asciiTheme="minorEastAsia" w:hAnsiTheme="minorEastAsia"/>
          <w:szCs w:val="21"/>
        </w:rPr>
        <w:t xml:space="preserve">二、计分方法 </w:t>
      </w:r>
    </w:p>
    <w:p>
      <w:pPr>
        <w:spacing w:line="360" w:lineRule="auto"/>
        <w:ind w:firstLine="420" w:firstLineChars="200"/>
        <w:jc w:val="left"/>
        <w:rPr>
          <w:rFonts w:asciiTheme="minorEastAsia" w:hAnsiTheme="minorEastAsia"/>
          <w:szCs w:val="21"/>
        </w:rPr>
      </w:pPr>
      <w:bookmarkStart w:id="5" w:name="_Toc17050"/>
      <w:bookmarkStart w:id="6" w:name="_Toc13053"/>
      <w:r>
        <w:rPr>
          <w:rFonts w:hint="eastAsia" w:asciiTheme="minorEastAsia" w:hAnsiTheme="minorEastAsia"/>
          <w:szCs w:val="21"/>
        </w:rPr>
        <w:t>3.1 评标委员会成员按照招标文件和本细则上述有关规定，给投标人综合评审，独立打分；</w:t>
      </w:r>
      <w:bookmarkEnd w:id="5"/>
      <w:bookmarkEnd w:id="6"/>
      <w:r>
        <w:rPr>
          <w:rFonts w:hint="eastAsia" w:asciiTheme="minorEastAsia" w:hAnsiTheme="minorEastAsia"/>
          <w:szCs w:val="21"/>
        </w:rPr>
        <w:t xml:space="preserve"> </w:t>
      </w:r>
    </w:p>
    <w:p>
      <w:pPr>
        <w:spacing w:line="360" w:lineRule="auto"/>
        <w:ind w:firstLine="420" w:firstLineChars="200"/>
        <w:jc w:val="left"/>
        <w:rPr>
          <w:rFonts w:asciiTheme="minorEastAsia" w:hAnsiTheme="minorEastAsia"/>
          <w:szCs w:val="21"/>
        </w:rPr>
      </w:pPr>
      <w:bookmarkStart w:id="7" w:name="_Toc21677"/>
      <w:bookmarkStart w:id="8" w:name="_Toc18166"/>
      <w:r>
        <w:rPr>
          <w:rFonts w:hint="eastAsia" w:asciiTheme="minorEastAsia" w:hAnsiTheme="minorEastAsia"/>
          <w:szCs w:val="21"/>
        </w:rPr>
        <w:t>3.2 各投标人的最终得分为各评委所评定分数的算术平均值；</w:t>
      </w:r>
      <w:bookmarkEnd w:id="7"/>
      <w:bookmarkEnd w:id="8"/>
      <w:r>
        <w:rPr>
          <w:rFonts w:hint="eastAsia" w:asciiTheme="minorEastAsia" w:hAnsiTheme="minorEastAsia"/>
          <w:szCs w:val="21"/>
        </w:rPr>
        <w:t xml:space="preserve"> </w:t>
      </w:r>
    </w:p>
    <w:p>
      <w:pPr>
        <w:spacing w:line="360" w:lineRule="auto"/>
        <w:ind w:firstLine="420" w:firstLineChars="200"/>
        <w:jc w:val="left"/>
        <w:rPr>
          <w:rFonts w:asciiTheme="minorEastAsia" w:hAnsiTheme="minorEastAsia"/>
          <w:szCs w:val="21"/>
        </w:rPr>
      </w:pPr>
      <w:bookmarkStart w:id="9" w:name="_Toc7843"/>
      <w:bookmarkStart w:id="10" w:name="_Toc29019"/>
      <w:r>
        <w:rPr>
          <w:rFonts w:hint="eastAsia" w:asciiTheme="minorEastAsia" w:hAnsiTheme="minorEastAsia"/>
          <w:szCs w:val="21"/>
        </w:rPr>
        <w:t>3.3 各项统计、评分结果均按四舍五入方法精确到小数点后两位；</w:t>
      </w:r>
      <w:bookmarkEnd w:id="9"/>
      <w:bookmarkEnd w:id="10"/>
      <w:r>
        <w:rPr>
          <w:rFonts w:hint="eastAsia" w:asciiTheme="minorEastAsia" w:hAnsiTheme="minorEastAsia"/>
          <w:szCs w:val="21"/>
        </w:rPr>
        <w:t xml:space="preserve"> </w:t>
      </w:r>
      <w:bookmarkStart w:id="11" w:name="_Toc17319"/>
      <w:bookmarkStart w:id="12" w:name="_Toc26608"/>
    </w:p>
    <w:p>
      <w:pPr>
        <w:spacing w:line="360" w:lineRule="auto"/>
        <w:ind w:firstLine="420" w:firstLineChars="200"/>
        <w:jc w:val="left"/>
        <w:rPr>
          <w:rFonts w:asciiTheme="minorEastAsia" w:hAnsiTheme="minorEastAsia"/>
          <w:szCs w:val="21"/>
        </w:rPr>
      </w:pPr>
      <w:r>
        <w:rPr>
          <w:rFonts w:hint="eastAsia" w:asciiTheme="minorEastAsia" w:hAnsiTheme="minorEastAsia"/>
          <w:szCs w:val="21"/>
        </w:rPr>
        <w:t>3.4 评标完成后，评标委员会应当根据综合评分情况，按照评审得分由高到低顺序推荐3名中标候选人，并编写评标报告。评审得分相同的，按照最后报价由低到高的顺序推</w:t>
      </w:r>
      <w:bookmarkEnd w:id="11"/>
      <w:bookmarkEnd w:id="12"/>
      <w:bookmarkStart w:id="13" w:name="_Toc3669"/>
      <w:bookmarkStart w:id="14" w:name="_Toc23575"/>
      <w:r>
        <w:rPr>
          <w:rFonts w:hint="eastAsia" w:asciiTheme="minorEastAsia" w:hAnsiTheme="minorEastAsia"/>
          <w:szCs w:val="21"/>
        </w:rPr>
        <w:t>荐。评审得分且最后报价相同的，按照技术指标优劣顺序推荐。</w:t>
      </w:r>
      <w:bookmarkEnd w:id="13"/>
      <w:bookmarkEnd w:id="14"/>
    </w:p>
    <w:p>
      <w:pPr>
        <w:jc w:val="center"/>
        <w:rPr>
          <w:b/>
          <w:bCs/>
          <w:szCs w:val="21"/>
        </w:rPr>
      </w:pPr>
    </w:p>
    <w:p>
      <w:pPr>
        <w:rPr>
          <w:b/>
          <w:bCs/>
          <w:szCs w:val="21"/>
        </w:rPr>
      </w:pPr>
      <w:r>
        <w:rPr>
          <w:rFonts w:hint="eastAsia"/>
          <w:b/>
          <w:bCs/>
          <w:szCs w:val="21"/>
        </w:rPr>
        <w:br w:type="page"/>
      </w:r>
    </w:p>
    <w:p>
      <w:pPr>
        <w:spacing w:line="240" w:lineRule="auto"/>
        <w:jc w:val="center"/>
        <w:rPr>
          <w:rFonts w:hint="default" w:eastAsiaTheme="minorEastAsia"/>
          <w:sz w:val="24"/>
          <w:szCs w:val="24"/>
          <w:lang w:val="en-US" w:eastAsia="zh-CN"/>
        </w:rPr>
      </w:pPr>
      <w:r>
        <w:rPr>
          <w:rFonts w:hint="eastAsia"/>
          <w:b/>
          <w:bCs/>
          <w:sz w:val="32"/>
          <w:szCs w:val="32"/>
          <w:lang w:val="en-US" w:eastAsia="zh-CN"/>
        </w:rPr>
        <w:t>技术要求</w:t>
      </w:r>
    </w:p>
    <w:p>
      <w:pPr>
        <w:pStyle w:val="4"/>
        <w:ind w:left="144" w:leftChars="0" w:firstLineChars="0"/>
        <w:rPr>
          <w:rFonts w:hint="eastAsia"/>
          <w:lang w:val="en-US" w:eastAsia="zh-CN"/>
        </w:rPr>
      </w:pPr>
      <w:bookmarkStart w:id="15" w:name="_Toc188935722"/>
      <w:bookmarkStart w:id="16" w:name="_Toc303891345"/>
      <w:r>
        <w:rPr>
          <w:rFonts w:hint="eastAsia"/>
          <w:lang w:val="en-US" w:eastAsia="zh-CN"/>
        </w:rPr>
        <w:t>1.测量放桩</w:t>
      </w:r>
      <w:bookmarkEnd w:id="15"/>
      <w:bookmarkEnd w:id="16"/>
    </w:p>
    <w:p>
      <w:pPr>
        <w:pStyle w:val="4"/>
        <w:ind w:left="144" w:leftChars="0" w:firstLineChars="0"/>
        <w:rPr>
          <w:rFonts w:hint="eastAsia"/>
          <w:lang w:val="en-US" w:eastAsia="zh-CN"/>
        </w:rPr>
      </w:pPr>
      <w:r>
        <w:rPr>
          <w:rFonts w:hint="eastAsia"/>
          <w:lang w:val="en-US" w:eastAsia="zh-CN"/>
        </w:rPr>
        <w:t>1.1实地放线</w:t>
      </w:r>
    </w:p>
    <w:p>
      <w:pPr>
        <w:ind w:firstLine="480"/>
        <w:rPr>
          <w:rFonts w:hint="eastAsia"/>
        </w:rPr>
      </w:pPr>
      <w:r>
        <w:rPr>
          <w:rFonts w:hint="eastAsia"/>
        </w:rPr>
        <w:t>1）、放线时应一次放出路线起终点、控制桩、整桩与加桩。</w:t>
      </w:r>
    </w:p>
    <w:p>
      <w:pPr>
        <w:ind w:firstLine="480"/>
        <w:rPr>
          <w:rFonts w:hint="eastAsia"/>
        </w:rPr>
      </w:pPr>
      <w:r>
        <w:rPr>
          <w:rFonts w:hint="eastAsia"/>
        </w:rPr>
        <w:t>2）、控制桩应读数2次，二次点位差不得大于2cm。</w:t>
      </w:r>
    </w:p>
    <w:p>
      <w:pPr>
        <w:pStyle w:val="4"/>
        <w:ind w:left="144" w:leftChars="0" w:firstLineChars="0"/>
        <w:rPr>
          <w:rFonts w:hint="eastAsia"/>
          <w:color w:val="auto"/>
          <w:lang w:val="en-US" w:eastAsia="zh-CN"/>
        </w:rPr>
      </w:pPr>
      <w:r>
        <w:rPr>
          <w:rFonts w:hint="eastAsia"/>
          <w:color w:val="auto"/>
          <w:lang w:val="en-US" w:eastAsia="zh-CN"/>
        </w:rPr>
        <w:t>1.2中桩测量</w:t>
      </w:r>
    </w:p>
    <w:p>
      <w:pPr>
        <w:ind w:firstLine="480"/>
        <w:rPr>
          <w:color w:val="auto"/>
        </w:rPr>
      </w:pPr>
      <w:r>
        <w:rPr>
          <w:rFonts w:hint="eastAsia"/>
          <w:color w:val="auto"/>
        </w:rPr>
        <w:t>1）、中线上必须钉设路线起点桩、终点桩、公里桩、百米桩以及加桩。桥梁轴线控制桩、断链桩、互通立交交叉点桩等，桩号标注至厘米。</w:t>
      </w:r>
    </w:p>
    <w:p>
      <w:pPr>
        <w:ind w:firstLine="480"/>
        <w:rPr>
          <w:color w:val="auto"/>
        </w:rPr>
      </w:pPr>
      <w:r>
        <w:rPr>
          <w:rFonts w:hint="eastAsia"/>
          <w:color w:val="auto"/>
        </w:rPr>
        <w:t>2）、中桩间距：中桩间距一般采用20m，根据地形适当加密。中桩量距精度、桩位限差及曲线测量应满足规范要求。</w:t>
      </w:r>
    </w:p>
    <w:p>
      <w:pPr>
        <w:ind w:firstLine="480"/>
        <w:rPr>
          <w:color w:val="auto"/>
        </w:rPr>
      </w:pPr>
      <w:r>
        <w:rPr>
          <w:rFonts w:hint="eastAsia"/>
          <w:color w:val="auto"/>
        </w:rPr>
        <w:t>3）、凡下列位置必须敷设加桩：在路线纵、横断面地形显著变化点；土质变化及不良地质地段起终点处；路线与一般公路、大车道、管线、鱼塘、河岸、水渠等交叉处；拆迁建筑物处；耕地分界点；市、县级行政区划分界处；桥梁涵洞等人工构造物等处。</w:t>
      </w:r>
    </w:p>
    <w:p>
      <w:pPr>
        <w:ind w:firstLine="480"/>
        <w:rPr>
          <w:color w:val="auto"/>
        </w:rPr>
      </w:pPr>
      <w:r>
        <w:rPr>
          <w:rFonts w:hint="eastAsia"/>
          <w:color w:val="auto"/>
        </w:rPr>
        <w:t>路线纵、横向地形变化处：沟顶宽小于50cm的水沟必须由三个桩控制，即沟中心一个，沟顶两侧边缘各一个；沟顶宽在200cm~50cm的水沟必须由四个桩控制，即沟底两侧边缘各一个，沟顶两侧边缘各一个；沟顶宽大于200cm的水沟，除满足上条四个桩外，应根据水沟底的实际情况进行加桩；水塘和鱼塘，其塘埂必须由四个桩控制，即埂底两侧边缘各一个，埂顶两侧边缘各一个，塘中根据要求放桩；河堤必须由四个桩控制，当河堤较宽（大于5米）或堤坡面较长（大于10米）时，应在堤顶中间和堤坡面中间加桩，同时对堤坡面有平台或路时，应在平台或路两侧加桩。</w:t>
      </w:r>
    </w:p>
    <w:p>
      <w:pPr>
        <w:ind w:firstLine="480"/>
        <w:rPr>
          <w:color w:val="auto"/>
        </w:rPr>
      </w:pPr>
      <w:r>
        <w:rPr>
          <w:rFonts w:hint="eastAsia"/>
          <w:color w:val="auto"/>
        </w:rPr>
        <w:t>鱼塘埂顶处加桩示意图如下：</w:t>
      </w:r>
    </w:p>
    <w:p>
      <w:pPr>
        <w:ind w:firstLine="480"/>
        <w:rPr>
          <w:color w:val="auto"/>
        </w:rPr>
      </w:pPr>
      <w:r>
        <w:rPr>
          <w:color w:val="auto"/>
        </w:rPr>
        <w:pict>
          <v:group id="Group 2" o:spid="_x0000_s1058" o:spt="203" style="height:70.2pt;width:306pt;" coordsize="6120,1404" o:gfxdata="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">
            <o:lock v:ext="edit" aspectratio="f"/>
            <v:group id="Group 3" o:spid="_x0000_s1040" o:spt="203" style="position:absolute;left:4320;top:312;height:226;width:360;" coordsize="360,226" o:gfxdata="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tkKr5vAAAANsAAAAPAAAAAAAAAAEAIAAAACIAAABkcnMvZG93bnJldi54bWxQ&#10;SwECFAAUAAAACACHTuJAMy8FnjsAAAA5AAAAFQAAAAAAAAABACAAAAALAQAAZHJzL2dyb3Vwc2hh&#10;cGV4bWwueG1sUEsFBgAAAAAGAAYAYAEAAMgDAAAAAA==&#10;">
              <o:lock v:ext="edit" aspectratio="f"/>
              <v:line id="Line 4" o:spid="_x0000_s1036" o:spt="20" style="position:absolute;left:0;top:156;height:0;width:360;" filled="f" stroked="t" coordsize="21600,21600" o:gfxdata="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fuTt+8AAAA&#10;2wAAAA8AAAAAAAAAAQAgAAAAIgAAAGRycy9kb3ducmV2LnhtbFBLAQIUABQAAAAIAIdO4kAzLwWe&#10;OwAAADkAAAAQAAAAAAAAAAEAIAAAAAsBAABkcnMvc2hhcGV4bWwueG1sUEsFBgAAAAAGAAYAWwEA&#10;ALUDAAAAAA==&#10;">
                <v:path arrowok="t"/>
                <v:fill on="f" focussize="0,0"/>
                <v:stroke color="#000000" joinstyle="round"/>
                <v:imagedata o:title=""/>
                <o:lock v:ext="edit" aspectratio="f"/>
              </v:line>
              <v:line id="Line 5" o:spid="_x0000_s1037" o:spt="20" style="position:absolute;left:180;top:156;height:0;width:0;" filled="f" stroked="t" coordsize="21600,21600" o:gfxdata="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gH1qu8AAAA&#10;2wAAAA8AAAAAAAAAAQAgAAAAIgAAAGRycy9kb3ducmV2LnhtbFBLAQIUABQAAAAIAIdO4kAzLwWe&#10;OwAAADkAAAAQAAAAAAAAAAEAIAAAAAsBAABkcnMvc2hhcGV4bWwueG1sUEsFBgAAAAAGAAYAWwEA&#10;ALUDAAAAAA==&#10;">
                <v:path arrowok="t"/>
                <v:fill on="f" focussize="0,0"/>
                <v:stroke color="#000000" joinstyle="round"/>
                <v:imagedata o:title=""/>
                <o:lock v:ext="edit" aspectratio="f"/>
              </v:line>
              <v:line id="Line 6" o:spid="_x0000_s1038" o:spt="20" style="position:absolute;left:90;top:226;height:0;width:180;" filled="f" stroked="t" coordsize="21600,21600" o:gfxdata="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dLczC8AAAA&#10;2wAAAA8AAAAAAAAAAQAgAAAAIgAAAGRycy9kb3ducmV2LnhtbFBLAQIUABQAAAAIAIdO4kAzLwWe&#10;OwAAADkAAAAQAAAAAAAAAAEAIAAAAAsBAABkcnMvc2hhcGV4bWwueG1sUEsFBgAAAAAGAAYAWwEA&#10;ALUDAAAAAA==&#10;">
                <v:path arrowok="t"/>
                <v:fill on="f" focussize="0,0"/>
                <v:stroke color="#000000" joinstyle="round"/>
                <v:imagedata o:title=""/>
                <o:lock v:ext="edit" aspectratio="f"/>
              </v:line>
              <v:shape id="AutoShape 7" o:spid="_x0000_s1039" o:spt="5" type="#_x0000_t5" style="position:absolute;left:90;top:0;height:156;width:180;rotation:11796480f;" fillcolor="#FFFFFF" filled="t" stroked="t" coordsize="21600,21600" o:gfxdata="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3dJ0J7sAAADb&#10;AAAADwAAAAAAAAABACAAAAAiAAAAZHJzL2Rvd25yZXYueG1sUEsBAhQAFAAAAAgAh07iQDMvBZ47&#10;AAAAOQAAABAAAAAAAAAAAQAgAAAACgEAAGRycy9zaGFwZXhtbC54bWxQSwUGAAAAAAYABgBbAQAA&#10;tAMAAAAA&#10;" adj="9600">
                <v:path/>
                <v:fill on="t" focussize="0,0"/>
                <v:stroke color="#000000" miterlimit="8" joinstyle="miter"/>
                <v:imagedata o:title=""/>
                <o:lock v:ext="edit" aspectratio="f"/>
              </v:shape>
            </v:group>
            <v:shape id="AutoShape 8" o:spid="_x0000_s1041" o:spt="61" type="#_x0000_t61" style="position:absolute;left:5040;top:0;height:468;width:1080;" fillcolor="#FFFFFF" filled="t" stroked="t" coordsize="21600,21600" o:gfxdata="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R7ex+5AAAA2wAA&#10;AA8AAAAAAAAAAQAgAAAAIgAAAGRycy9kb3ducmV2LnhtbFBLAQIUABQAAAAIAIdO4kAzLwWeOwAA&#10;ADkAAAAQAAAAAAAAAAEAIAAAAAgBAABkcnMvc2hhcGV4bWwueG1sUEsFBgAAAAAGAAYAWwEAALID&#10;AAAAAA==&#10;" adj="-6420,20631">
              <v:path/>
              <v:fill on="t" focussize="0,0"/>
              <v:stroke color="#000000" miterlimit="8" joinstyle="miter"/>
              <v:imagedata o:title=""/>
              <o:lock v:ext="edit" aspectratio="f"/>
              <v:textbox>
                <w:txbxContent>
                  <w:p>
                    <w:pPr>
                      <w:pStyle w:val="40"/>
                    </w:pPr>
                    <w:r>
                      <w:rPr>
                        <w:rFonts w:hint="eastAsia"/>
                      </w:rPr>
                      <w:t>水位线</w:t>
                    </w:r>
                  </w:p>
                </w:txbxContent>
              </v:textbox>
            </v:shape>
            <v:shape id="AutoShape 9" o:spid="_x0000_s1042" style="position:absolute;left:1620;top:312;height:312;width:180;" fillcolor="#FFFFFF" filled="t" stroked="t" coordsize="21600,21600" o:gfxdata="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nEaEvQAA&#10;ANsAAAAPAAAAAAAAAAEAIAAAACIAAABkcnMvZG93bnJldi54bWxQSwECFAAUAAAACACHTuJAMy8F&#10;njsAAAA5AAAAEAAAAAAAAAABACAAAAAMAQAAZHJzL3NoYXBleG1sLnhtbFBLBQYAAAAABgAGAFsB&#10;AAC2AwAAAAA=&#10;" path="m0,0l5400,21600,16200,21600,21600,0xe">
              <v:path o:connectlocs="157,156;90,312;22,156;90,0" o:connectangles="0,0,0,0"/>
              <v:fill on="t" focussize="0,0"/>
              <v:stroke color="#000000" miterlimit="8" joinstyle="miter"/>
              <v:imagedata o:title=""/>
              <o:lock v:ext="edit" aspectratio="f"/>
            </v:shape>
            <v:shape id="AutoShape 10" o:spid="_x0000_s1043" style="position:absolute;left:2045;top:0;height:312;width:180;" fillcolor="#FFFFFF" filled="t" stroked="t" coordsize="21600,21600" o:gfxdata="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LQ4x+5AAAA2wAA&#10;AA8AAAAAAAAAAQAgAAAAIgAAAGRycy9kb3ducmV2LnhtbFBLAQIUABQAAAAIAIdO4kAzLwWeOwAA&#10;ADkAAAAQAAAAAAAAAAEAIAAAAAgBAABkcnMvc2hhcGV4bWwueG1sUEsFBgAAAAAGAAYAWwEAALID&#10;AAAAAA==&#10;" path="m0,0l5400,21600,16200,21600,21600,0xe">
              <v:path o:connectlocs="157,156;90,312;22,156;90,0" o:connectangles="0,0,0,0"/>
              <v:fill on="t" focussize="0,0"/>
              <v:stroke color="#000000" miterlimit="8" joinstyle="miter"/>
              <v:imagedata o:title=""/>
              <o:lock v:ext="edit" aspectratio="f"/>
            </v:shape>
            <v:shape id="AutoShape 11" o:spid="_x0000_s1044" style="position:absolute;left:2778;top:0;height:312;width:180;" fillcolor="#FFFFFF" filled="t" stroked="t" coordsize="21600,21600" o:gfxdata="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dhoA/ugAAANsA&#10;AAAPAAAAAAAAAAEAIAAAACIAAABkcnMvZG93bnJldi54bWxQSwECFAAUAAAACACHTuJAMy8FnjsA&#10;AAA5AAAAEAAAAAAAAAABACAAAAAJAQAAZHJzL3NoYXBleG1sLnhtbFBLBQYAAAAABgAGAFsBAACz&#10;AwAAAAA=&#10;" path="m0,0l5400,21600,16200,21600,21600,0xe">
              <v:path o:connectlocs="157,156;90,312;22,156;90,0" o:connectangles="0,0,0,0"/>
              <v:fill on="t" focussize="0,0"/>
              <v:stroke color="#000000" miterlimit="8" joinstyle="miter"/>
              <v:imagedata o:title=""/>
              <o:lock v:ext="edit" aspectratio="f"/>
            </v:shape>
            <v:shape id="AutoShape 12" o:spid="_x0000_s1045" style="position:absolute;left:3060;top:312;height:312;width:180;" fillcolor="#FFFFFF" filled="t" stroked="t" coordsize="21600,21600" o:gfxdata="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yiWkvQAA&#10;ANsAAAAPAAAAAAAAAAEAIAAAACIAAABkcnMvZG93bnJldi54bWxQSwECFAAUAAAACACHTuJAMy8F&#10;njsAAAA5AAAAEAAAAAAAAAABACAAAAAMAQAAZHJzL3NoYXBleG1sLnhtbFBLBQYAAAAABgAGAFsB&#10;AAC2AwAAAAA=&#10;" path="m0,0l5400,21600,16200,21600,21600,0xe">
              <v:path o:connectlocs="157,156;90,312;22,156;90,0" o:connectangles="0,0,0,0"/>
              <v:fill on="t" focussize="0,0"/>
              <v:stroke color="#000000" miterlimit="8" joinstyle="miter"/>
              <v:imagedata o:title=""/>
              <o:lock v:ext="edit" aspectratio="f"/>
            </v:shape>
            <v:group id="Group 13" o:spid="_x0000_s1050" o:spt="203" style="position:absolute;left:720;top:312;height:226;width:360;" coordsize="360,226" o:gfxdata="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P8YES+AAAA2wAAAA8AAAAAAAAAAQAgAAAAIgAAAGRycy9kb3ducmV2Lnht&#10;bFBLAQIUABQAAAAIAIdO4kAzLwWeOwAAADkAAAAVAAAAAAAAAAEAIAAAAA0BAABkcnMvZ3JvdXBz&#10;aGFwZXhtbC54bWxQSwUGAAAAAAYABgBgAQAAygMAAAAA&#10;">
              <o:lock v:ext="edit" aspectratio="f"/>
              <v:line id="Line 14" o:spid="_x0000_s1046" o:spt="20" style="position:absolute;left:0;top:156;height:0;width:360;" filled="f" stroked="t" coordsize="21600,21600" o:gfxdata="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mChGK8AAAA&#10;2wAAAA8AAAAAAAAAAQAgAAAAIgAAAGRycy9kb3ducmV2LnhtbFBLAQIUABQAAAAIAIdO4kAzLwWe&#10;OwAAADkAAAAQAAAAAAAAAAEAIAAAAAsBAABkcnMvc2hhcGV4bWwueG1sUEsFBgAAAAAGAAYAWwEA&#10;ALUDAAAAAA==&#10;">
                <v:path arrowok="t"/>
                <v:fill on="f" focussize="0,0"/>
                <v:stroke color="#000000" joinstyle="round"/>
                <v:imagedata o:title=""/>
                <o:lock v:ext="edit" aspectratio="f"/>
              </v:line>
              <v:line id="Line 15" o:spid="_x0000_s1047" o:spt="20" style="position:absolute;left:180;top:156;height:0;width:0;" filled="f" stroked="t" coordsize="21600,21600" o:gfxdata="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axwWvQAA&#10;ANsAAAAPAAAAAAAAAAEAIAAAACIAAABkcnMvZG93bnJldi54bWxQSwECFAAUAAAACACHTuJAMy8F&#10;njsAAAA5AAAAEAAAAAAAAAABACAAAAAMAQAAZHJzL3NoYXBleG1sLnhtbFBLBQYAAAAABgAGAFsB&#10;AAC2AwAAAAA=&#10;">
                <v:path arrowok="t"/>
                <v:fill on="f" focussize="0,0"/>
                <v:stroke color="#000000" joinstyle="round"/>
                <v:imagedata o:title=""/>
                <o:lock v:ext="edit" aspectratio="f"/>
              </v:line>
              <v:line id="Line 16" o:spid="_x0000_s1048" o:spt="20" style="position:absolute;left:90;top:226;height:0;width:180;" filled="f" stroked="t" coordsize="21600,21600" o:gfxdata="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5J7mNvQAA&#10;ANsAAAAPAAAAAAAAAAEAIAAAACIAAABkcnMvZG93bnJldi54bWxQSwECFAAUAAAACACHTuJAMy8F&#10;njsAAAA5AAAAEAAAAAAAAAABACAAAAAMAQAAZHJzL3NoYXBleG1sLnhtbFBLBQYAAAAABgAGAFsB&#10;AAC2AwAAAAA=&#10;">
                <v:path arrowok="t"/>
                <v:fill on="f" focussize="0,0"/>
                <v:stroke color="#000000" joinstyle="round"/>
                <v:imagedata o:title=""/>
                <o:lock v:ext="edit" aspectratio="f"/>
              </v:line>
              <v:shape id="AutoShape 17" o:spid="_x0000_s1049" o:spt="5" type="#_x0000_t5" style="position:absolute;left:90;top:0;height:156;width:180;rotation:11796480f;" fillcolor="#FFFFFF" filled="t" stroked="t" coordsize="21600,21600" o:gfxdata="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O+vpq/&#10;AAAA2wAAAA8AAAAAAAAAAQAgAAAAIgAAAGRycy9kb3ducmV2LnhtbFBLAQIUABQAAAAIAIdO4kAz&#10;LwWeOwAAADkAAAAQAAAAAAAAAAEAIAAAAA4BAABkcnMvc2hhcGV4bWwueG1sUEsFBgAAAAAGAAYA&#10;WwEAALgDAAAAAA==&#10;" adj="9600">
                <v:path/>
                <v:fill on="t" focussize="0,0"/>
                <v:stroke color="#000000" miterlimit="8" joinstyle="miter"/>
                <v:imagedata o:title=""/>
                <o:lock v:ext="edit" aspectratio="f"/>
              </v:shape>
            </v:group>
            <v:shape id="AutoShape 18" o:spid="_x0000_s1051" o:spt="61" type="#_x0000_t61" style="position:absolute;left:1980;top:936;height:468;width:1080;" fillcolor="#FFFFFF" filled="t" stroked="t" coordsize="21600,21600" o:gfxdata="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p5iLbsAAADb&#10;AAAADwAAAAAAAAABACAAAAAiAAAAZHJzL2Rvd25yZXYueG1sUEsBAhQAFAAAAAgAh07iQDMvBZ47&#10;AAAAOQAAABAAAAAAAAAAAQAgAAAACgEAAGRycy9zaGFwZXhtbC54bWxQSwUGAAAAAAYABgBbAQAA&#10;tAMAAAAA&#10;" adj="-4420,-17492">
              <v:path/>
              <v:fill on="t" focussize="0,0"/>
              <v:stroke color="#000000" miterlimit="8" joinstyle="miter"/>
              <v:imagedata o:title=""/>
              <o:lock v:ext="edit" aspectratio="f"/>
              <v:textbox>
                <w:txbxContent>
                  <w:p>
                    <w:pPr>
                      <w:pStyle w:val="40"/>
                    </w:pPr>
                    <w:r>
                      <w:rPr>
                        <w:rFonts w:hint="eastAsia"/>
                      </w:rPr>
                      <w:t>加桩点</w:t>
                    </w:r>
                  </w:p>
                </w:txbxContent>
              </v:textbox>
            </v:shape>
            <v:group id="Group 19" o:spid="_x0000_s1057" o:spt="203" style="position:absolute;left:0;top:156;height:780;width:5040;" coordsize="5040,780" o:gfxdata="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whRXrroAAADbAAAADwAAAAAAAAABACAAAAAiAAAAZHJzL2Rvd25yZXYueG1sUEsB&#10;AhQAFAAAAAgAh07iQDMvBZ47AAAAOQAAABUAAAAAAAAAAQAgAAAACQEAAGRycy9ncm91cHNoYXBl&#10;eG1sLnhtbFBLBQYAAAAABgAGAGABAADGAwAAAAA=&#10;">
              <o:lock v:ext="edit" aspectratio="f"/>
              <v:line id="Line 20" o:spid="_x0000_s1052" o:spt="20" style="position:absolute;left:0;top:312;flip:y;height:468;width:1800;" filled="f" stroked="t" coordsize="21600,21600" o:gfxdata="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ZI2ivQAA&#10;ANsAAAAPAAAAAAAAAAEAIAAAACIAAABkcnMvZG93bnJldi54bWxQSwECFAAUAAAACACHTuJAMy8F&#10;njsAAAA5AAAAEAAAAAAAAAABACAAAAAMAQAAZHJzL3NoYXBleG1sLnhtbFBLBQYAAAAABgAGAFsB&#10;AAC2AwAAAAA=&#10;">
                <v:path arrowok="t"/>
                <v:fill on="f" focussize="0,0"/>
                <v:stroke color="#000000" joinstyle="round"/>
                <v:imagedata o:title=""/>
                <o:lock v:ext="edit" aspectratio="f"/>
              </v:line>
              <v:line id="Line 21" o:spid="_x0000_s1053" o:spt="20" style="position:absolute;left:1800;top:0;flip:y;height:312;width:360;" filled="f" stroked="t" coordsize="21600,21600" o:gfxdata="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dh7LiugAAANsA&#10;AAAPAAAAAAAAAAEAIAAAACIAAABkcnMvZG93bnJldi54bWxQSwECFAAUAAAACACHTuJAMy8FnjsA&#10;AAA5AAAAEAAAAAAAAAABACAAAAAJAQAAZHJzL3NoYXBleG1sLnhtbFBLBQYAAAAABgAGAFsBAACz&#10;AwAAAAA=&#10;">
                <v:path arrowok="t"/>
                <v:fill on="f" focussize="0,0"/>
                <v:stroke color="#000000" joinstyle="round"/>
                <v:imagedata o:title=""/>
                <o:lock v:ext="edit" aspectratio="f"/>
              </v:line>
              <v:line id="Line 22" o:spid="_x0000_s1054" o:spt="20" style="position:absolute;left:2160;top:0;height:0;width:720;"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path arrowok="t"/>
                <v:fill on="f" focussize="0,0"/>
                <v:stroke color="#000000" joinstyle="round"/>
                <v:imagedata o:title=""/>
                <o:lock v:ext="edit" aspectratio="f"/>
              </v:line>
              <v:line id="Line 23" o:spid="_x0000_s1055" o:spt="20" style="position:absolute;left:2880;top:0;height:468;width:360;"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path arrowok="t"/>
                <v:fill on="f" focussize="0,0"/>
                <v:stroke color="#000000" joinstyle="round"/>
                <v:imagedata o:title=""/>
                <o:lock v:ext="edit" aspectratio="f"/>
              </v:line>
              <v:line id="Line 24" o:spid="_x0000_s1056" o:spt="20" style="position:absolute;left:3240;top:468;height:312;width:1800;" filled="f" stroked="t" coordsize="21600,21600" o:gfxdata="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bEr+8AAAA&#10;2wAAAA8AAAAAAAAAAQAgAAAAIgAAAGRycy9kb3ducmV2LnhtbFBLAQIUABQAAAAIAIdO4kAzLwWe&#10;OwAAADkAAAAQAAAAAAAAAAEAIAAAAAsBAABkcnMvc2hhcGV4bWwueG1sUEsFBgAAAAAGAAYAWwEA&#10;ALUDAAAAAA==&#10;">
                <v:path arrowok="t"/>
                <v:fill on="f" focussize="0,0"/>
                <v:stroke color="#000000" joinstyle="round"/>
                <v:imagedata o:title=""/>
                <o:lock v:ext="edit" aspectratio="f"/>
              </v:line>
            </v:group>
            <w10:wrap type="none"/>
            <w10:anchorlock/>
          </v:group>
        </w:pict>
      </w:r>
    </w:p>
    <w:p>
      <w:pPr>
        <w:ind w:firstLine="480"/>
        <w:rPr>
          <w:color w:val="auto"/>
        </w:rPr>
      </w:pPr>
      <w:r>
        <w:rPr>
          <w:rFonts w:hint="eastAsia"/>
          <w:color w:val="auto"/>
        </w:rPr>
        <w:t>路线交叉处的加桩：对于小于8.5m道路，必须由两个桩控制，即道路两侧边缘各一个；对于大于8.5m道路，必须由三个桩控制，即道路两侧边缘各一个，中心一个；对于设有中央分隔带或绿化带的道路，必须在中央分隔带或绿化带两侧敷设中桩。</w:t>
      </w:r>
    </w:p>
    <w:p>
      <w:pPr>
        <w:ind w:firstLine="480"/>
        <w:rPr>
          <w:color w:val="auto"/>
        </w:rPr>
      </w:pPr>
      <w:r>
        <w:rPr>
          <w:rFonts w:hint="eastAsia"/>
          <w:color w:val="auto"/>
        </w:rPr>
        <w:t>拆迁建筑物处：对于临近路线中心线的需拆迁建筑物，应在其每个屋角对中线的垂线交点处加桩。如下图所示：</w:t>
      </w:r>
    </w:p>
    <w:p>
      <w:pPr>
        <w:ind w:firstLine="480"/>
        <w:rPr>
          <w:color w:val="auto"/>
        </w:rPr>
      </w:pPr>
      <w:r>
        <w:rPr>
          <w:color w:val="auto"/>
        </w:rPr>
        <w:pict>
          <v:group id="Group 25" o:spid="_x0000_s1035" o:spt="203" style="height:85.8pt;width:252pt;" coordsize="5040,1716" o:gfxdata="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">
            <o:lock v:ext="edit" aspectratio="f"/>
            <v:line id="Line 26" o:spid="_x0000_s1026" o:spt="20" style="position:absolute;left:2160;top:156;flip:y;height:0;width:1080;" filled="f" stroked="t" coordsize="21600,21600" o:gfxdata="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yWwmb4A&#10;AADaAAAADwAAAAAAAAABACAAAAAiAAAAZHJzL2Rvd25yZXYueG1sUEsBAhQAFAAAAAgAh07iQDMv&#10;BZ47AAAAOQAAABAAAAAAAAAAAQAgAAAADQEAAGRycy9zaGFwZXhtbC54bWxQSwUGAAAAAAYABgBb&#10;AQAAtwMAAAAA&#10;">
              <v:path arrowok="t"/>
              <v:fill on="f" focussize="0,0"/>
              <v:stroke color="#000000" joinstyle="round" endarrow="block"/>
              <v:imagedata o:title=""/>
              <o:lock v:ext="edit" aspectratio="f"/>
            </v:line>
            <v:rect id="Rectangle 27" o:spid="_x0000_s1027" o:spt="1" alt="浅色上对角线" style="position:absolute;left:1620;top:156;height:468;width:540;" fillcolor="#000000" filled="t" stroked="t" coordsize="21600,21600" o:gfxdata="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jOTvC8AAAA&#10;2gAAAA8AAAAAAAAAAQAgAAAAIgAAAGRycy9kb3ducmV2LnhtbFBLAQIUABQAAAAIAIdO4kAzLwWe&#10;OwAAADkAAAAQAAAAAAAAAAEAIAAAAAsBAABkcnMvc2hhcGV4bWwueG1sUEsFBgAAAAAGAAYAWwEA&#10;ALUDAAAAAA==&#10;">
              <v:path/>
              <v:fill type="pattern" on="t" color2="#FFFFFF" o:title="浅色上对角线" focussize="0,0" r:id="rId5"/>
              <v:stroke color="#000000" miterlimit="8" joinstyle="miter"/>
              <v:imagedata o:title=""/>
              <o:lock v:ext="edit" aspectratio="f"/>
            </v:rect>
            <v:line id="Line 28" o:spid="_x0000_s1028" o:spt="20" style="position:absolute;left:2160;top:624;height:0;width:1080;" filled="f" stroked="t" coordsize="21600,21600" o:gfxdata="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TVbhr4A&#10;AADaAAAADwAAAAAAAAABACAAAAAiAAAAZHJzL2Rvd25yZXYueG1sUEsBAhQAFAAAAAgAh07iQDMv&#10;BZ47AAAAOQAAABAAAAAAAAAAAQAgAAAADQEAAGRycy9zaGFwZXhtbC54bWxQSwUGAAAAAAYABgBb&#10;AQAAtwMAAAAA&#10;">
              <v:path arrowok="t"/>
              <v:fill on="f" focussize="0,0"/>
              <v:stroke color="#000000" joinstyle="round" endarrow="block"/>
              <v:imagedata o:title=""/>
              <o:lock v:ext="edit" aspectratio="f"/>
            </v:line>
            <v:line id="Line 29" o:spid="_x0000_s1029" o:spt="20" style="position:absolute;left:3240;top:0;height:1716;width:0;" filled="f" stroked="t" coordsize="21600,21600" o:gfxdata="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IZgE7sAAADa&#10;AAAADwAAAAAAAAABACAAAAAiAAAAZHJzL2Rvd25yZXYueG1sUEsBAhQAFAAAAAgAh07iQDMvBZ47&#10;AAAAOQAAABAAAAAAAAAAAQAgAAAACgEAAGRycy9zaGFwZXhtbC54bWxQSwUGAAAAAAYABgBbAQAA&#10;tAMAAAAA&#10;">
              <v:path arrowok="t"/>
              <v:fill on="f" focussize="0,0"/>
              <v:stroke weight="3pt" color="#000000" joinstyle="round"/>
              <v:imagedata o:title=""/>
              <o:lock v:ext="edit" aspectratio="f"/>
            </v:line>
            <v:shape id="AutoShape 30" o:spid="_x0000_s1030" o:spt="7" alt="浅色上对角线" type="#_x0000_t7" style="position:absolute;left:1620;top:783;height:780;width:540;" fillcolor="#000000" filled="t" stroked="t" coordsize="21600,21600" o:gfxdata="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3BsbCbsAAADa&#10;AAAADwAAAAAAAAABACAAAAAiAAAAZHJzL2Rvd25yZXYueG1sUEsBAhQAFAAAAAgAh07iQDMvBZ47&#10;AAAAOQAAABAAAAAAAAAAAQAgAAAACgEAAGRycy9zaGFwZXhtbC54bWxQSwUGAAAAAAYABgBbAQAA&#10;tAMAAAAA&#10;" adj="5400">
              <v:path/>
              <v:fill type="pattern" on="t" color2="#FFFFFF" o:title="浅色上对角线" focussize="0,0" r:id="rId5"/>
              <v:stroke color="#000000" miterlimit="8" joinstyle="miter"/>
              <v:imagedata o:title=""/>
              <o:lock v:ext="edit" aspectratio="f"/>
            </v:shape>
            <v:line id="Line 31" o:spid="_x0000_s1031" o:spt="20" style="position:absolute;left:2160;top:780;height:0;width:1080;" filled="f" stroked="t" coordsize="21600,21600" o:gfxdata="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efF8b4A&#10;AADaAAAADwAAAAAAAAABACAAAAAiAAAAZHJzL2Rvd25yZXYueG1sUEsBAhQAFAAAAAgAh07iQDMv&#10;BZ47AAAAOQAAABAAAAAAAAAAAQAgAAAADQEAAGRycy9zaGFwZXhtbC54bWxQSwUGAAAAAAYABgBb&#10;AQAAtwMAAAAA&#10;">
              <v:path arrowok="t"/>
              <v:fill on="f" focussize="0,0"/>
              <v:stroke color="#000000" joinstyle="round" endarrow="block"/>
              <v:imagedata o:title=""/>
              <o:lock v:ext="edit" aspectratio="f"/>
            </v:line>
            <v:line id="Line 32" o:spid="_x0000_s1032" o:spt="20" style="position:absolute;left:1980;top:1560;height:0;width:1260;" filled="f" stroked="t" coordsize="21600,21600" o:gfxdata="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oeFGDugAAANoA&#10;AAAPAAAAAAAAAAEAIAAAACIAAABkcnMvZG93bnJldi54bWxQSwECFAAUAAAACACHTuJAMy8FnjsA&#10;AAA5AAAAEAAAAAAAAAABACAAAAAJAQAAZHJzL3NoYXBleG1sLnhtbFBLBQYAAAAABgAGAFsBAACz&#10;AwAAAAA=&#10;">
              <v:path arrowok="t"/>
              <v:fill on="f" focussize="0,0"/>
              <v:stroke color="#000000" joinstyle="round" endarrow="block"/>
              <v:imagedata o:title=""/>
              <o:lock v:ext="edit" aspectratio="f"/>
            </v:line>
            <v:shape id="AutoShape 33" o:spid="_x0000_s1033" o:spt="61" type="#_x0000_t61" style="position:absolute;left:0;top:312;height:468;width:1080;" fillcolor="#FFFFFF" filled="t" stroked="t" coordsize="21600,21600" o:gfxdata="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qW+C8AAAA&#10;2gAAAA8AAAAAAAAAAQAgAAAAIgAAAGRycy9kb3ducmV2LnhtbFBLAQIUABQAAAAIAIdO4kAzLwWe&#10;OwAAADkAAAAQAAAAAAAAAAEAIAAAAAsBAABkcnMvc2hhcGV4bWwueG1sUEsFBgAAAAAGAAYAWwEA&#10;ALUDAAAAAA==&#10;" adj="33680,41862">
              <v:path/>
              <v:fill on="t" focussize="0,0"/>
              <v:stroke color="#000000" miterlimit="8" joinstyle="miter"/>
              <v:imagedata o:title=""/>
              <o:lock v:ext="edit" aspectratio="f"/>
              <v:textbox>
                <w:txbxContent>
                  <w:p>
                    <w:pPr>
                      <w:pStyle w:val="40"/>
                    </w:pPr>
                    <w:r>
                      <w:rPr>
                        <w:rFonts w:hint="eastAsia"/>
                      </w:rPr>
                      <w:t>建筑物</w:t>
                    </w:r>
                  </w:p>
                </w:txbxContent>
              </v:textbox>
            </v:shape>
            <v:shape id="AutoShape 34" o:spid="_x0000_s1034" o:spt="61" type="#_x0000_t61" style="position:absolute;left:3600;top:0;height:468;width:1440;" fillcolor="#FFFFFF" filled="t" stroked="t" coordsize="21600,21600" o:gfxdata="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80S7W8AAAA&#10;2wAAAA8AAAAAAAAAAQAgAAAAIgAAAGRycy9kb3ducmV2LnhtbFBLAQIUABQAAAAIAIdO4kAzLwWe&#10;OwAAADkAAAAQAAAAAAAAAAEAIAAAAAsBAABkcnMvc2hhcGV4bWwueG1sUEsFBgAAAAAGAAYAWwEA&#10;ALUDAAAAAA==&#10;" adj="-5115,37015">
              <v:path/>
              <v:fill on="t" focussize="0,0"/>
              <v:stroke color="#000000" miterlimit="8" joinstyle="miter"/>
              <v:imagedata o:title=""/>
              <o:lock v:ext="edit" aspectratio="f"/>
              <v:textbox>
                <w:txbxContent>
                  <w:p>
                    <w:pPr>
                      <w:pStyle w:val="40"/>
                    </w:pPr>
                    <w:r>
                      <w:rPr>
                        <w:rFonts w:hint="eastAsia"/>
                      </w:rPr>
                      <w:t>中线加桩点</w:t>
                    </w:r>
                  </w:p>
                </w:txbxContent>
              </v:textbox>
            </v:shape>
            <w10:wrap type="none"/>
            <w10:anchorlock/>
          </v:group>
        </w:pict>
      </w:r>
    </w:p>
    <w:p>
      <w:pPr>
        <w:ind w:firstLine="480"/>
        <w:rPr>
          <w:color w:val="auto"/>
        </w:rPr>
      </w:pPr>
      <w:r>
        <w:rPr>
          <w:rFonts w:hint="eastAsia"/>
          <w:color w:val="auto"/>
        </w:rPr>
        <w:t>所有地形变化、沟渠、鱼塘、水库、道路等处加桩应能如实反映其纵向形态断面。</w:t>
      </w:r>
    </w:p>
    <w:p>
      <w:pPr>
        <w:pStyle w:val="4"/>
        <w:ind w:left="144" w:leftChars="0" w:firstLineChars="0"/>
        <w:rPr>
          <w:color w:val="auto"/>
        </w:rPr>
      </w:pPr>
      <w:r>
        <w:rPr>
          <w:rFonts w:hint="eastAsia"/>
          <w:color w:val="auto"/>
          <w:lang w:val="en-US" w:eastAsia="zh-CN"/>
        </w:rPr>
        <w:t>1.3</w:t>
      </w:r>
      <w:r>
        <w:rPr>
          <w:rFonts w:hint="eastAsia"/>
          <w:color w:val="auto"/>
        </w:rPr>
        <w:t>高程测量</w:t>
      </w:r>
    </w:p>
    <w:p>
      <w:pPr>
        <w:ind w:firstLine="480"/>
        <w:rPr>
          <w:rFonts w:ascii="宋体" w:hAnsi="宋体"/>
          <w:color w:val="auto"/>
        </w:rPr>
      </w:pPr>
      <w:r>
        <w:rPr>
          <w:rFonts w:hint="eastAsia"/>
          <w:color w:val="auto"/>
        </w:rPr>
        <w:t>1）、</w:t>
      </w:r>
      <w:r>
        <w:rPr>
          <w:rFonts w:hint="eastAsia" w:ascii="宋体" w:hAnsi="宋体"/>
          <w:color w:val="auto"/>
        </w:rPr>
        <w:t>中桩高程的测量应测量桩志处的地面高，对沿线需要特殊控制的建筑物、管线、铁路轨顶、道路等应按规定测出其标高，其限差为±5cm。</w:t>
      </w:r>
    </w:p>
    <w:p>
      <w:pPr>
        <w:ind w:firstLine="480"/>
        <w:rPr>
          <w:color w:val="auto"/>
        </w:rPr>
      </w:pPr>
      <w:r>
        <w:rPr>
          <w:rFonts w:hint="eastAsia"/>
          <w:color w:val="auto"/>
        </w:rPr>
        <w:t>2）、</w:t>
      </w:r>
      <w:r>
        <w:rPr>
          <w:rFonts w:hint="eastAsia" w:ascii="宋体" w:hAnsi="宋体"/>
          <w:color w:val="auto"/>
        </w:rPr>
        <w:t>中桩高程测量应起于闭合水准点，其允许误差为±30</w:t>
      </w:r>
      <w:r>
        <w:rPr>
          <w:rFonts w:ascii="宋体" w:hAnsi="宋体"/>
          <w:color w:val="auto"/>
        </w:rPr>
        <w:object>
          <v:shape id="_x0000_i1025" o:spt="75" type="#_x0000_t75" style="height:17.5pt;width:20pt;" o:ole="t" filled="f" o:preferrelative="t" stroked="f" coordsize="21600,21600">
            <v:path/>
            <v:fill on="f" focussize="0,0"/>
            <v:stroke on="f" joinstyle="miter"/>
            <v:imagedata r:id="rId7" o:title=""/>
            <o:lock v:ext="edit" aspectratio="t"/>
            <w10:wrap type="none"/>
            <w10:anchorlock/>
          </v:shape>
          <o:OLEObject Type="Embed" ProgID="Equation.3" ShapeID="_x0000_i1025" DrawAspect="Content" ObjectID="_1468075725" r:id="rId6">
            <o:LockedField>false</o:LockedField>
          </o:OLEObject>
        </w:object>
      </w:r>
      <w:r>
        <w:rPr>
          <w:rFonts w:hint="eastAsia" w:ascii="宋体" w:hAnsi="宋体"/>
          <w:color w:val="auto"/>
        </w:rPr>
        <w:t>mm，中桩高程检测限差±5cm。</w:t>
      </w:r>
    </w:p>
    <w:p>
      <w:pPr>
        <w:ind w:firstLine="480"/>
        <w:rPr>
          <w:color w:val="auto"/>
        </w:rPr>
      </w:pPr>
      <w:r>
        <w:rPr>
          <w:rFonts w:hint="eastAsia"/>
          <w:color w:val="auto"/>
        </w:rPr>
        <w:t>3）鱼塘、水库、河流等处的中桩高程测量应以淤泥顶面地面线测量地面高。</w:t>
      </w:r>
    </w:p>
    <w:p>
      <w:pPr>
        <w:pStyle w:val="4"/>
        <w:ind w:left="144" w:leftChars="0" w:firstLineChars="0"/>
        <w:rPr>
          <w:color w:val="auto"/>
        </w:rPr>
      </w:pPr>
      <w:bookmarkStart w:id="17" w:name="_Toc303891350"/>
      <w:r>
        <w:rPr>
          <w:rFonts w:hint="eastAsia"/>
          <w:color w:val="auto"/>
          <w:lang w:val="en-US" w:eastAsia="zh-CN"/>
        </w:rPr>
        <w:t>1.4</w:t>
      </w:r>
      <w:r>
        <w:rPr>
          <w:rFonts w:hint="eastAsia"/>
          <w:color w:val="auto"/>
        </w:rPr>
        <w:t>排水及改移测量</w:t>
      </w:r>
      <w:bookmarkEnd w:id="17"/>
    </w:p>
    <w:p>
      <w:pPr>
        <w:ind w:firstLine="480"/>
        <w:rPr>
          <w:color w:val="auto"/>
        </w:rPr>
      </w:pPr>
      <w:r>
        <w:rPr>
          <w:rFonts w:hint="eastAsia"/>
          <w:color w:val="auto"/>
        </w:rPr>
        <w:t>1）、沿河、水塘、水库、河流等处，应测量水面标高、水深、淤泥深度等，水深及淤泥深度应精确到0.1m，水面标高精度要求同中桩测量。</w:t>
      </w:r>
    </w:p>
    <w:p>
      <w:pPr>
        <w:ind w:firstLine="480"/>
        <w:rPr>
          <w:color w:val="auto"/>
        </w:rPr>
      </w:pPr>
      <w:r>
        <w:rPr>
          <w:rFonts w:hint="eastAsia"/>
          <w:color w:val="auto"/>
        </w:rPr>
        <w:t>2）、改移公路、支线或连接线，应按相应等级公路实地放线，进行中线、高程测量。</w:t>
      </w:r>
    </w:p>
    <w:p>
      <w:pPr>
        <w:pStyle w:val="4"/>
        <w:ind w:left="144" w:leftChars="0" w:firstLineChars="0"/>
        <w:rPr>
          <w:color w:val="auto"/>
        </w:rPr>
      </w:pPr>
      <w:r>
        <w:rPr>
          <w:rFonts w:hint="eastAsia"/>
          <w:color w:val="auto"/>
          <w:lang w:val="en-US" w:eastAsia="zh-CN"/>
        </w:rPr>
        <w:t>1.5</w:t>
      </w:r>
      <w:r>
        <w:rPr>
          <w:rFonts w:hint="eastAsia"/>
          <w:color w:val="auto"/>
        </w:rPr>
        <w:t>桥涵测量</w:t>
      </w:r>
    </w:p>
    <w:p>
      <w:pPr>
        <w:ind w:firstLine="480"/>
        <w:rPr>
          <w:color w:val="auto"/>
        </w:rPr>
      </w:pPr>
      <w:r>
        <w:rPr>
          <w:rFonts w:hint="eastAsia"/>
          <w:color w:val="auto"/>
        </w:rPr>
        <w:t>1）、桥轴纵断面测量应与路线接线部分一次完成。</w:t>
      </w:r>
    </w:p>
    <w:p>
      <w:pPr>
        <w:ind w:firstLine="480"/>
        <w:rPr>
          <w:color w:val="auto"/>
        </w:rPr>
      </w:pPr>
      <w:r>
        <w:rPr>
          <w:rFonts w:hint="eastAsia"/>
          <w:color w:val="auto"/>
        </w:rPr>
        <w:t>2）、地表起伏较大、地质复杂的桥址，应在桥轴线上下游增测辅助纵断面，并在墩台基础范围内增测辅助横断面。</w:t>
      </w:r>
    </w:p>
    <w:p>
      <w:pPr>
        <w:ind w:firstLine="480"/>
        <w:rPr>
          <w:color w:val="auto"/>
        </w:rPr>
      </w:pPr>
      <w:r>
        <w:rPr>
          <w:rFonts w:hint="eastAsia"/>
          <w:color w:val="auto"/>
        </w:rPr>
        <w:t>3）、桥轴纵断面陆上部分测点高程采用水准仪测量。水下部分测量采用光电测距。</w:t>
      </w:r>
    </w:p>
    <w:p>
      <w:pPr>
        <w:ind w:firstLine="480"/>
        <w:rPr>
          <w:color w:val="auto"/>
        </w:rPr>
      </w:pPr>
      <w:r>
        <w:rPr>
          <w:rFonts w:hint="eastAsia"/>
          <w:color w:val="auto"/>
        </w:rPr>
        <w:t>4）、桥轴线方向每侧桥头应设置2个桥轴线桩。</w:t>
      </w:r>
    </w:p>
    <w:p>
      <w:pPr>
        <w:ind w:firstLine="480"/>
        <w:rPr>
          <w:color w:val="auto"/>
        </w:rPr>
      </w:pPr>
      <w:r>
        <w:rPr>
          <w:rFonts w:hint="eastAsia"/>
          <w:color w:val="auto"/>
        </w:rPr>
        <w:t>5）、小桥涵、涵洞处纵断面测量应在中桩测量通过加桩一次测量完成。</w:t>
      </w:r>
    </w:p>
    <w:p>
      <w:pPr>
        <w:pStyle w:val="4"/>
        <w:ind w:left="144" w:leftChars="0" w:firstLineChars="0"/>
        <w:rPr>
          <w:color w:val="auto"/>
        </w:rPr>
      </w:pPr>
      <w:r>
        <w:rPr>
          <w:rFonts w:hint="eastAsia"/>
          <w:color w:val="auto"/>
          <w:lang w:val="en-US" w:eastAsia="zh-CN"/>
        </w:rPr>
        <w:t>1.6</w:t>
      </w:r>
      <w:r>
        <w:rPr>
          <w:rFonts w:hint="eastAsia"/>
          <w:color w:val="auto"/>
        </w:rPr>
        <w:t>路线交叉测量</w:t>
      </w:r>
    </w:p>
    <w:p>
      <w:pPr>
        <w:ind w:firstLine="480"/>
        <w:rPr>
          <w:color w:val="auto"/>
        </w:rPr>
      </w:pPr>
      <w:r>
        <w:rPr>
          <w:rFonts w:hint="eastAsia"/>
          <w:color w:val="auto"/>
        </w:rPr>
        <w:t>1）、管线交叉处应测量其悬空高度或埋置深度和管线平面位置。对于沿线高压电力或电讯设施应测量与线位交叉处左右侧塔基处线高、塔基距离及线位交叉处线路</w:t>
      </w:r>
      <w:r>
        <w:rPr>
          <w:color w:val="auto"/>
        </w:rPr>
        <w:t>悬空净高</w:t>
      </w:r>
      <w:r>
        <w:rPr>
          <w:rFonts w:hint="eastAsia"/>
          <w:color w:val="auto"/>
        </w:rPr>
        <w:t>，同时应记录测量时温度。</w:t>
      </w:r>
    </w:p>
    <w:p>
      <w:pPr>
        <w:ind w:firstLine="480"/>
        <w:rPr>
          <w:color w:val="auto"/>
        </w:rPr>
      </w:pPr>
      <w:r>
        <w:rPr>
          <w:rFonts w:hint="eastAsia"/>
          <w:color w:val="auto"/>
        </w:rPr>
        <w:t>2）、分离通道处应通过加桩测量其形态断面、路面标高、交角、公路平面位置和纵断面标高。对于等级路的路肩、排水设施、绿化设施、用地界等分界点处应敷设加桩测量。</w:t>
      </w:r>
    </w:p>
    <w:p>
      <w:pPr>
        <w:pStyle w:val="4"/>
        <w:ind w:left="144" w:leftChars="0" w:firstLineChars="0"/>
        <w:rPr>
          <w:rFonts w:hint="eastAsia"/>
          <w:color w:val="auto"/>
          <w:lang w:val="en-US" w:eastAsia="zh-CN"/>
        </w:rPr>
      </w:pPr>
      <w:bookmarkStart w:id="18" w:name="_Toc303891353"/>
      <w:r>
        <w:rPr>
          <w:rFonts w:hint="eastAsia"/>
          <w:color w:val="auto"/>
          <w:lang w:val="en-US" w:eastAsia="zh-CN"/>
        </w:rPr>
        <w:t>2.其他工作</w:t>
      </w:r>
      <w:bookmarkEnd w:id="18"/>
    </w:p>
    <w:p>
      <w:pPr>
        <w:ind w:firstLine="480"/>
        <w:rPr>
          <w:color w:val="auto"/>
        </w:rPr>
      </w:pPr>
      <w:r>
        <w:rPr>
          <w:rFonts w:hint="eastAsia"/>
          <w:color w:val="auto"/>
        </w:rPr>
        <w:t>1、测量河流、水库、湖泊的历史最高水位标高、水面标高、水深、淤泥深度等。</w:t>
      </w:r>
    </w:p>
    <w:p>
      <w:pPr>
        <w:ind w:firstLine="480"/>
        <w:rPr>
          <w:color w:val="auto"/>
        </w:rPr>
      </w:pPr>
      <w:r>
        <w:rPr>
          <w:rFonts w:hint="eastAsia"/>
          <w:color w:val="auto"/>
        </w:rPr>
        <w:t>2、测量路线范围内的沟渠的位置、走向和标高，并注明沟渠宽度和深度。</w:t>
      </w:r>
    </w:p>
    <w:p>
      <w:pPr>
        <w:ind w:firstLine="480"/>
        <w:rPr>
          <w:color w:val="auto"/>
        </w:rPr>
      </w:pPr>
      <w:r>
        <w:rPr>
          <w:rFonts w:hint="eastAsia"/>
          <w:color w:val="auto"/>
        </w:rPr>
        <w:t>3、测量河道断面。</w:t>
      </w:r>
    </w:p>
    <w:p>
      <w:pPr>
        <w:ind w:firstLine="480"/>
        <w:rPr>
          <w:color w:val="auto"/>
        </w:rPr>
      </w:pPr>
      <w:r>
        <w:rPr>
          <w:rFonts w:hint="eastAsia"/>
          <w:color w:val="auto"/>
        </w:rPr>
        <w:t>4、测量路线范围内的各种管线的位置、走向和标高，并注明管线的材料、口径及埋深或架空高。</w:t>
      </w:r>
    </w:p>
    <w:p>
      <w:pPr>
        <w:ind w:firstLine="480"/>
      </w:pPr>
      <w:r>
        <w:rPr>
          <w:rFonts w:hint="eastAsia"/>
          <w:color w:val="auto"/>
        </w:rPr>
        <w:t>5、测量线路中线左右各150米范围内的高压铁塔、电杆和其它重要构筑物坐标</w:t>
      </w:r>
      <w:r>
        <w:rPr>
          <w:rFonts w:hint="eastAsia"/>
        </w:rPr>
        <w:t>，并测量高压线与路线交叉处的垂高和注明线路名称与电压大小。</w:t>
      </w:r>
    </w:p>
    <w:p>
      <w:pPr>
        <w:ind w:firstLine="480"/>
      </w:pPr>
      <w:r>
        <w:rPr>
          <w:rFonts w:hint="eastAsia"/>
        </w:rPr>
        <w:t>6、测量路线范围内的交叉道路的位置、走向和标高，注明交叉道路材料、宽度和交叉角。</w:t>
      </w:r>
    </w:p>
    <w:p>
      <w:pPr>
        <w:ind w:firstLine="480"/>
      </w:pPr>
      <w:r>
        <w:rPr>
          <w:rFonts w:hint="eastAsia"/>
        </w:rPr>
        <w:t>7、改移公路、支线或连接线，应按相应等级公路实地放线，进行中线、高程测量。</w:t>
      </w:r>
    </w:p>
    <w:p>
      <w:pPr>
        <w:pStyle w:val="4"/>
        <w:ind w:left="144" w:leftChars="0" w:firstLineChars="0"/>
        <w:rPr>
          <w:rFonts w:hint="eastAsia"/>
          <w:lang w:val="en-US" w:eastAsia="zh-CN"/>
        </w:rPr>
      </w:pPr>
      <w:bookmarkStart w:id="19" w:name="_Toc303891354"/>
      <w:r>
        <w:rPr>
          <w:rFonts w:hint="eastAsia"/>
          <w:lang w:val="en-US" w:eastAsia="zh-CN"/>
        </w:rPr>
        <w:t>3.注意事项</w:t>
      </w:r>
      <w:bookmarkEnd w:id="19"/>
    </w:p>
    <w:p>
      <w:pPr>
        <w:ind w:firstLine="480"/>
      </w:pPr>
      <w:r>
        <w:rPr>
          <w:rFonts w:hint="eastAsia"/>
        </w:rPr>
        <w:t>1、测量工作开展前应对控制点进行校核。</w:t>
      </w:r>
    </w:p>
    <w:p>
      <w:pPr>
        <w:ind w:firstLine="480"/>
      </w:pPr>
      <w:r>
        <w:rPr>
          <w:rFonts w:hint="eastAsia"/>
        </w:rPr>
        <w:t>2、测量成果测量</w:t>
      </w:r>
      <w:r>
        <w:t>当日应进行校核</w:t>
      </w:r>
      <w:r>
        <w:rPr>
          <w:rFonts w:hint="eastAsia"/>
        </w:rPr>
        <w:t>。</w:t>
      </w:r>
    </w:p>
    <w:p>
      <w:pPr>
        <w:ind w:firstLine="480"/>
      </w:pPr>
    </w:p>
    <w:p>
      <w:pPr>
        <w:rPr>
          <w:rFonts w:hint="eastAsia" w:ascii="宋体" w:hAnsi="宋体"/>
          <w:color w:val="000000"/>
          <w:szCs w:val="21"/>
        </w:rPr>
      </w:pPr>
      <w:r>
        <w:rPr>
          <w:rFonts w:hint="eastAsia" w:ascii="宋体" w:hAnsi="宋体"/>
          <w:color w:val="000000"/>
          <w:szCs w:val="21"/>
        </w:rPr>
        <w:br w:type="page"/>
      </w:r>
    </w:p>
    <w:p>
      <w:pPr>
        <w:spacing w:line="480" w:lineRule="exact"/>
        <w:rPr>
          <w:rFonts w:ascii="宋体" w:hAnsi="宋体"/>
          <w:color w:val="000000"/>
          <w:szCs w:val="21"/>
        </w:rPr>
      </w:pPr>
      <w:r>
        <w:rPr>
          <w:rFonts w:hint="eastAsia" w:ascii="宋体" w:hAnsi="宋体"/>
          <w:color w:val="000000"/>
          <w:szCs w:val="21"/>
        </w:rPr>
        <w:t>附件一</w:t>
      </w:r>
    </w:p>
    <w:p>
      <w:pPr>
        <w:spacing w:line="480" w:lineRule="exact"/>
        <w:rPr>
          <w:rFonts w:ascii="宋体" w:hAnsi="宋体"/>
          <w:color w:val="000000"/>
          <w:szCs w:val="21"/>
        </w:rPr>
      </w:pPr>
      <w:r>
        <w:rPr>
          <w:rFonts w:hint="eastAsia" w:ascii="宋体" w:hAnsi="宋体"/>
          <w:color w:val="000000"/>
          <w:szCs w:val="21"/>
        </w:rPr>
        <w:t>投标报价</w:t>
      </w:r>
    </w:p>
    <w:p>
      <w:pPr>
        <w:spacing w:line="480" w:lineRule="exact"/>
        <w:rPr>
          <w:rFonts w:ascii="宋体" w:hAnsi="宋体"/>
          <w:color w:val="000000"/>
          <w:szCs w:val="21"/>
        </w:rPr>
      </w:pPr>
      <w:r>
        <w:rPr>
          <w:rFonts w:hint="eastAsia" w:ascii="宋体" w:hAnsi="宋体"/>
          <w:color w:val="000000"/>
          <w:szCs w:val="21"/>
        </w:rPr>
        <w:t>报总价，且不能超招标控制价，并附明细报价。</w:t>
      </w:r>
    </w:p>
    <w:p>
      <w:pPr>
        <w:spacing w:line="480" w:lineRule="exact"/>
        <w:rPr>
          <w:rFonts w:ascii="宋体" w:hAnsi="宋体"/>
          <w:color w:val="000000"/>
          <w:szCs w:val="21"/>
        </w:rPr>
      </w:pPr>
      <w:r>
        <w:rPr>
          <w:rFonts w:hint="eastAsia" w:ascii="宋体" w:hAnsi="宋体"/>
          <w:color w:val="000000"/>
          <w:szCs w:val="21"/>
        </w:rPr>
        <w:t>格式自拟</w:t>
      </w:r>
    </w:p>
    <w:p>
      <w:pPr>
        <w:spacing w:line="480" w:lineRule="exact"/>
        <w:rPr>
          <w:rFonts w:ascii="宋体" w:hAnsi="宋体"/>
          <w:color w:val="000000"/>
          <w:szCs w:val="21"/>
        </w:rPr>
      </w:pPr>
    </w:p>
    <w:p>
      <w:pPr>
        <w:spacing w:line="480" w:lineRule="exact"/>
        <w:rPr>
          <w:rFonts w:ascii="宋体" w:hAnsi="宋体"/>
          <w:color w:val="000000"/>
          <w:szCs w:val="21"/>
        </w:rPr>
      </w:pPr>
      <w:r>
        <w:rPr>
          <w:rFonts w:hint="eastAsia" w:ascii="宋体" w:hAnsi="宋体"/>
          <w:color w:val="000000"/>
          <w:szCs w:val="21"/>
        </w:rPr>
        <w:t>附件二</w:t>
      </w:r>
    </w:p>
    <w:p>
      <w:pPr>
        <w:spacing w:line="480" w:lineRule="exact"/>
        <w:rPr>
          <w:rFonts w:ascii="宋体" w:hAnsi="宋体"/>
          <w:color w:val="000000"/>
          <w:szCs w:val="21"/>
        </w:rPr>
      </w:pPr>
      <w:r>
        <w:rPr>
          <w:rFonts w:hint="eastAsia" w:ascii="宋体" w:hAnsi="宋体"/>
          <w:color w:val="000000"/>
          <w:szCs w:val="21"/>
        </w:rPr>
        <w:t>资格证明文件</w:t>
      </w:r>
    </w:p>
    <w:p>
      <w:pPr>
        <w:spacing w:line="480" w:lineRule="exact"/>
        <w:rPr>
          <w:rFonts w:ascii="宋体" w:hAnsi="宋体"/>
          <w:color w:val="000000"/>
          <w:szCs w:val="21"/>
        </w:rPr>
      </w:pPr>
      <w:r>
        <w:rPr>
          <w:rFonts w:hint="eastAsia" w:ascii="宋体" w:hAnsi="宋体"/>
          <w:color w:val="000000"/>
          <w:szCs w:val="21"/>
        </w:rPr>
        <w:t>格式自拟</w:t>
      </w:r>
    </w:p>
    <w:p>
      <w:pPr>
        <w:spacing w:line="480" w:lineRule="exact"/>
        <w:rPr>
          <w:rFonts w:ascii="宋体" w:hAnsi="宋体"/>
          <w:color w:val="000000"/>
          <w:szCs w:val="21"/>
        </w:rPr>
      </w:pPr>
    </w:p>
    <w:p>
      <w:pPr>
        <w:spacing w:line="480" w:lineRule="exact"/>
        <w:rPr>
          <w:rFonts w:ascii="宋体" w:hAnsi="宋体"/>
          <w:color w:val="000000"/>
          <w:szCs w:val="21"/>
        </w:rPr>
      </w:pPr>
      <w:r>
        <w:rPr>
          <w:rFonts w:hint="eastAsia" w:ascii="宋体" w:hAnsi="宋体"/>
          <w:color w:val="000000"/>
          <w:szCs w:val="21"/>
        </w:rPr>
        <w:t>附件三</w:t>
      </w:r>
    </w:p>
    <w:p>
      <w:pPr>
        <w:spacing w:line="480" w:lineRule="exact"/>
        <w:rPr>
          <w:rFonts w:ascii="宋体" w:hAnsi="宋体"/>
          <w:color w:val="000000"/>
          <w:szCs w:val="21"/>
        </w:rPr>
      </w:pPr>
      <w:r>
        <w:rPr>
          <w:rFonts w:hint="eastAsia" w:ascii="宋体" w:hAnsi="宋体"/>
          <w:color w:val="000000"/>
          <w:szCs w:val="21"/>
          <w:lang w:val="en-US" w:eastAsia="zh-CN"/>
        </w:rPr>
        <w:t>测量</w:t>
      </w:r>
      <w:r>
        <w:rPr>
          <w:rFonts w:hint="eastAsia" w:ascii="宋体" w:hAnsi="宋体"/>
          <w:color w:val="000000"/>
          <w:szCs w:val="21"/>
        </w:rPr>
        <w:t>方案</w:t>
      </w:r>
    </w:p>
    <w:p>
      <w:pPr>
        <w:spacing w:line="480" w:lineRule="exact"/>
        <w:rPr>
          <w:rFonts w:ascii="宋体" w:hAnsi="宋体"/>
          <w:color w:val="000000"/>
          <w:szCs w:val="21"/>
        </w:rPr>
      </w:pPr>
      <w:r>
        <w:rPr>
          <w:rFonts w:hint="eastAsia" w:ascii="宋体" w:hAnsi="宋体"/>
          <w:color w:val="000000"/>
          <w:szCs w:val="21"/>
        </w:rPr>
        <w:t>格式自拟</w:t>
      </w:r>
    </w:p>
    <w:p>
      <w:pPr>
        <w:spacing w:line="480" w:lineRule="exact"/>
        <w:rPr>
          <w:rFonts w:ascii="宋体" w:hAnsi="宋体"/>
          <w:color w:val="000000"/>
          <w:szCs w:val="21"/>
        </w:rPr>
      </w:pPr>
    </w:p>
    <w:p>
      <w:pPr>
        <w:spacing w:line="480" w:lineRule="exact"/>
        <w:rPr>
          <w:rFonts w:ascii="宋体" w:hAnsi="宋体"/>
          <w:color w:val="000000"/>
          <w:szCs w:val="21"/>
        </w:rPr>
      </w:pPr>
      <w:r>
        <w:rPr>
          <w:rFonts w:hint="eastAsia" w:ascii="宋体" w:hAnsi="宋体"/>
          <w:color w:val="000000"/>
          <w:szCs w:val="21"/>
        </w:rPr>
        <w:t>附件四</w:t>
      </w:r>
    </w:p>
    <w:p>
      <w:pPr>
        <w:spacing w:line="480" w:lineRule="exact"/>
        <w:rPr>
          <w:rFonts w:ascii="宋体" w:hAnsi="宋体"/>
          <w:color w:val="000000"/>
          <w:szCs w:val="21"/>
        </w:rPr>
      </w:pPr>
      <w:r>
        <w:rPr>
          <w:rFonts w:hint="eastAsia" w:ascii="宋体" w:hAnsi="宋体"/>
          <w:color w:val="000000"/>
          <w:szCs w:val="21"/>
        </w:rPr>
        <w:t>技术文件</w:t>
      </w:r>
    </w:p>
    <w:p>
      <w:pPr>
        <w:spacing w:line="480" w:lineRule="exact"/>
        <w:rPr>
          <w:rFonts w:ascii="宋体" w:hAnsi="宋体"/>
          <w:color w:val="000000"/>
          <w:szCs w:val="21"/>
        </w:rPr>
      </w:pPr>
      <w:r>
        <w:rPr>
          <w:rFonts w:hint="eastAsia" w:ascii="宋体" w:hAnsi="宋体"/>
          <w:color w:val="000000"/>
          <w:szCs w:val="21"/>
        </w:rPr>
        <w:t>格式自拟</w:t>
      </w:r>
    </w:p>
    <w:p>
      <w:pPr>
        <w:spacing w:line="480" w:lineRule="exact"/>
        <w:rPr>
          <w:rFonts w:ascii="宋体" w:hAnsi="宋体"/>
          <w:color w:val="000000"/>
          <w:szCs w:val="21"/>
        </w:rPr>
      </w:pPr>
    </w:p>
    <w:sectPr>
      <w:footerReference r:id="rId3" w:type="default"/>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125126"/>
    </w:sdtPr>
    <w:sdtContent>
      <w:p>
        <w:pPr>
          <w:pStyle w:val="12"/>
          <w:jc w:val="center"/>
        </w:pPr>
        <w:r>
          <w:fldChar w:fldCharType="begin"/>
        </w:r>
        <w:r>
          <w:instrText xml:space="preserve"> PAGE   \* MERGEFORMAT </w:instrText>
        </w:r>
        <w:r>
          <w:fldChar w:fldCharType="separate"/>
        </w:r>
        <w:r>
          <w:rPr>
            <w:lang w:val="zh-CN"/>
          </w:rPr>
          <w:t>7</w:t>
        </w:r>
        <w:r>
          <w:rPr>
            <w:lang w:val="zh-CN"/>
          </w:rPr>
          <w:fldChar w:fldCharType="end"/>
        </w:r>
      </w:p>
    </w:sdtContent>
  </w:sdt>
  <w:p>
    <w:pPr>
      <w:pStyle w:val="1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U4ZTRkM2Q2YjM1NmY0MjgyY2Q4MWFhOWUwN2FkYjkifQ=="/>
  </w:docVars>
  <w:rsids>
    <w:rsidRoot w:val="00150BC1"/>
    <w:rsid w:val="00003ED6"/>
    <w:rsid w:val="0000717B"/>
    <w:rsid w:val="000100FA"/>
    <w:rsid w:val="00017C55"/>
    <w:rsid w:val="000200BC"/>
    <w:rsid w:val="00023660"/>
    <w:rsid w:val="00024528"/>
    <w:rsid w:val="000269E6"/>
    <w:rsid w:val="0003433C"/>
    <w:rsid w:val="000431D5"/>
    <w:rsid w:val="00045F29"/>
    <w:rsid w:val="000535A4"/>
    <w:rsid w:val="00057122"/>
    <w:rsid w:val="00061F76"/>
    <w:rsid w:val="00067926"/>
    <w:rsid w:val="00075A6E"/>
    <w:rsid w:val="000775A3"/>
    <w:rsid w:val="000811A4"/>
    <w:rsid w:val="00082E96"/>
    <w:rsid w:val="000904BD"/>
    <w:rsid w:val="00091842"/>
    <w:rsid w:val="000956DD"/>
    <w:rsid w:val="000A06EA"/>
    <w:rsid w:val="000A08EE"/>
    <w:rsid w:val="000C174F"/>
    <w:rsid w:val="000C179D"/>
    <w:rsid w:val="000C3D49"/>
    <w:rsid w:val="000D0EE1"/>
    <w:rsid w:val="000E1EB5"/>
    <w:rsid w:val="000E555D"/>
    <w:rsid w:val="000E7039"/>
    <w:rsid w:val="000F1841"/>
    <w:rsid w:val="000F6042"/>
    <w:rsid w:val="00113F16"/>
    <w:rsid w:val="001153FC"/>
    <w:rsid w:val="00116189"/>
    <w:rsid w:val="00117D49"/>
    <w:rsid w:val="001239C2"/>
    <w:rsid w:val="00137E2B"/>
    <w:rsid w:val="00150BC1"/>
    <w:rsid w:val="00153AED"/>
    <w:rsid w:val="00153D79"/>
    <w:rsid w:val="0015576B"/>
    <w:rsid w:val="001626F9"/>
    <w:rsid w:val="00171748"/>
    <w:rsid w:val="00184DAF"/>
    <w:rsid w:val="001870B7"/>
    <w:rsid w:val="001922BD"/>
    <w:rsid w:val="001963A0"/>
    <w:rsid w:val="001966DA"/>
    <w:rsid w:val="001979D4"/>
    <w:rsid w:val="001A0362"/>
    <w:rsid w:val="001B3F9F"/>
    <w:rsid w:val="001B487E"/>
    <w:rsid w:val="001C31CB"/>
    <w:rsid w:val="001C53B1"/>
    <w:rsid w:val="001C6C48"/>
    <w:rsid w:val="001C7D35"/>
    <w:rsid w:val="001D3C91"/>
    <w:rsid w:val="001D7C05"/>
    <w:rsid w:val="001D7F7F"/>
    <w:rsid w:val="001F41F5"/>
    <w:rsid w:val="001F47D4"/>
    <w:rsid w:val="001F5190"/>
    <w:rsid w:val="001F59B1"/>
    <w:rsid w:val="00204E2F"/>
    <w:rsid w:val="00204F2C"/>
    <w:rsid w:val="00207B50"/>
    <w:rsid w:val="002110F7"/>
    <w:rsid w:val="0022395D"/>
    <w:rsid w:val="00225C05"/>
    <w:rsid w:val="00226BD6"/>
    <w:rsid w:val="00233EC4"/>
    <w:rsid w:val="00245BAA"/>
    <w:rsid w:val="00245F93"/>
    <w:rsid w:val="00250619"/>
    <w:rsid w:val="00253779"/>
    <w:rsid w:val="002543E9"/>
    <w:rsid w:val="00255544"/>
    <w:rsid w:val="00255F8A"/>
    <w:rsid w:val="00256BBC"/>
    <w:rsid w:val="0026316A"/>
    <w:rsid w:val="002738E1"/>
    <w:rsid w:val="002812BF"/>
    <w:rsid w:val="0028383B"/>
    <w:rsid w:val="00286959"/>
    <w:rsid w:val="00286E54"/>
    <w:rsid w:val="00293135"/>
    <w:rsid w:val="00296996"/>
    <w:rsid w:val="002A62F9"/>
    <w:rsid w:val="002A734B"/>
    <w:rsid w:val="002A7FCD"/>
    <w:rsid w:val="002B19A0"/>
    <w:rsid w:val="002B4489"/>
    <w:rsid w:val="002B457E"/>
    <w:rsid w:val="002B783B"/>
    <w:rsid w:val="002C1046"/>
    <w:rsid w:val="002C1BA8"/>
    <w:rsid w:val="002C26B2"/>
    <w:rsid w:val="002C6245"/>
    <w:rsid w:val="002C6E71"/>
    <w:rsid w:val="002D6396"/>
    <w:rsid w:val="002E68F4"/>
    <w:rsid w:val="002E783A"/>
    <w:rsid w:val="002F2F8E"/>
    <w:rsid w:val="002F3D8A"/>
    <w:rsid w:val="002F4024"/>
    <w:rsid w:val="002F45C9"/>
    <w:rsid w:val="002F5F63"/>
    <w:rsid w:val="00302ED0"/>
    <w:rsid w:val="00307E7B"/>
    <w:rsid w:val="003105D6"/>
    <w:rsid w:val="00314EED"/>
    <w:rsid w:val="0031542B"/>
    <w:rsid w:val="00326320"/>
    <w:rsid w:val="00331AF5"/>
    <w:rsid w:val="0033242A"/>
    <w:rsid w:val="00332D92"/>
    <w:rsid w:val="0034140F"/>
    <w:rsid w:val="003446C0"/>
    <w:rsid w:val="00352496"/>
    <w:rsid w:val="0035405F"/>
    <w:rsid w:val="003556A4"/>
    <w:rsid w:val="00356EFA"/>
    <w:rsid w:val="003608EF"/>
    <w:rsid w:val="00361254"/>
    <w:rsid w:val="00361721"/>
    <w:rsid w:val="0036268A"/>
    <w:rsid w:val="00365416"/>
    <w:rsid w:val="00371E14"/>
    <w:rsid w:val="00373FDD"/>
    <w:rsid w:val="00381534"/>
    <w:rsid w:val="0038366F"/>
    <w:rsid w:val="003903F9"/>
    <w:rsid w:val="003934D1"/>
    <w:rsid w:val="003942DC"/>
    <w:rsid w:val="00394E96"/>
    <w:rsid w:val="00395A17"/>
    <w:rsid w:val="003A0810"/>
    <w:rsid w:val="003A13FA"/>
    <w:rsid w:val="003B21E0"/>
    <w:rsid w:val="003B3B85"/>
    <w:rsid w:val="003C241B"/>
    <w:rsid w:val="003C3C55"/>
    <w:rsid w:val="003C6418"/>
    <w:rsid w:val="003D199D"/>
    <w:rsid w:val="003E7549"/>
    <w:rsid w:val="003F1ED8"/>
    <w:rsid w:val="003F584B"/>
    <w:rsid w:val="003F730A"/>
    <w:rsid w:val="00401C35"/>
    <w:rsid w:val="00411A0E"/>
    <w:rsid w:val="00422533"/>
    <w:rsid w:val="00432732"/>
    <w:rsid w:val="004335CF"/>
    <w:rsid w:val="00434EDF"/>
    <w:rsid w:val="00437512"/>
    <w:rsid w:val="00440B4A"/>
    <w:rsid w:val="0044420B"/>
    <w:rsid w:val="00457802"/>
    <w:rsid w:val="00467BB1"/>
    <w:rsid w:val="00472AA4"/>
    <w:rsid w:val="00481DC7"/>
    <w:rsid w:val="0048420B"/>
    <w:rsid w:val="004852FC"/>
    <w:rsid w:val="004871C6"/>
    <w:rsid w:val="004A03D3"/>
    <w:rsid w:val="004A207B"/>
    <w:rsid w:val="004B2854"/>
    <w:rsid w:val="004C1A06"/>
    <w:rsid w:val="004C6125"/>
    <w:rsid w:val="004D702B"/>
    <w:rsid w:val="004E0CF7"/>
    <w:rsid w:val="004F1352"/>
    <w:rsid w:val="004F76B2"/>
    <w:rsid w:val="0050268E"/>
    <w:rsid w:val="00505D23"/>
    <w:rsid w:val="00511606"/>
    <w:rsid w:val="00512CE8"/>
    <w:rsid w:val="00517C0B"/>
    <w:rsid w:val="00524BC4"/>
    <w:rsid w:val="00525E80"/>
    <w:rsid w:val="00531085"/>
    <w:rsid w:val="00534372"/>
    <w:rsid w:val="00553EDA"/>
    <w:rsid w:val="00563C1C"/>
    <w:rsid w:val="00565D41"/>
    <w:rsid w:val="0056651F"/>
    <w:rsid w:val="00567AAE"/>
    <w:rsid w:val="00572332"/>
    <w:rsid w:val="005727D1"/>
    <w:rsid w:val="005738E6"/>
    <w:rsid w:val="00575DFC"/>
    <w:rsid w:val="005816D9"/>
    <w:rsid w:val="0058307C"/>
    <w:rsid w:val="00586884"/>
    <w:rsid w:val="005875BD"/>
    <w:rsid w:val="00594DB5"/>
    <w:rsid w:val="005A577A"/>
    <w:rsid w:val="005A7482"/>
    <w:rsid w:val="005C5394"/>
    <w:rsid w:val="005C6557"/>
    <w:rsid w:val="005D60D7"/>
    <w:rsid w:val="005D74CD"/>
    <w:rsid w:val="005E4FB6"/>
    <w:rsid w:val="005E679B"/>
    <w:rsid w:val="005E77A8"/>
    <w:rsid w:val="005E7ADC"/>
    <w:rsid w:val="005F39A2"/>
    <w:rsid w:val="005F496F"/>
    <w:rsid w:val="00604EDC"/>
    <w:rsid w:val="00611B56"/>
    <w:rsid w:val="006123CF"/>
    <w:rsid w:val="00613307"/>
    <w:rsid w:val="00614361"/>
    <w:rsid w:val="0061476F"/>
    <w:rsid w:val="0062671A"/>
    <w:rsid w:val="00634ABE"/>
    <w:rsid w:val="00640123"/>
    <w:rsid w:val="0064314D"/>
    <w:rsid w:val="006471FE"/>
    <w:rsid w:val="00650479"/>
    <w:rsid w:val="006508A3"/>
    <w:rsid w:val="006578C5"/>
    <w:rsid w:val="00662291"/>
    <w:rsid w:val="0066322A"/>
    <w:rsid w:val="00676240"/>
    <w:rsid w:val="00685290"/>
    <w:rsid w:val="00693C80"/>
    <w:rsid w:val="00694ACE"/>
    <w:rsid w:val="006A4B20"/>
    <w:rsid w:val="006A7ADE"/>
    <w:rsid w:val="006B0375"/>
    <w:rsid w:val="006B0E03"/>
    <w:rsid w:val="006B6D50"/>
    <w:rsid w:val="006D2525"/>
    <w:rsid w:val="006D3894"/>
    <w:rsid w:val="006D4AFF"/>
    <w:rsid w:val="006E0C67"/>
    <w:rsid w:val="006E166C"/>
    <w:rsid w:val="006E18F4"/>
    <w:rsid w:val="006E5698"/>
    <w:rsid w:val="006E7A74"/>
    <w:rsid w:val="006F5A86"/>
    <w:rsid w:val="00702466"/>
    <w:rsid w:val="00707F36"/>
    <w:rsid w:val="00711C6A"/>
    <w:rsid w:val="007216B1"/>
    <w:rsid w:val="0072336F"/>
    <w:rsid w:val="007245CF"/>
    <w:rsid w:val="00727784"/>
    <w:rsid w:val="0073051A"/>
    <w:rsid w:val="0073190D"/>
    <w:rsid w:val="007476FB"/>
    <w:rsid w:val="007508D4"/>
    <w:rsid w:val="00762A8D"/>
    <w:rsid w:val="00765730"/>
    <w:rsid w:val="007720D2"/>
    <w:rsid w:val="007810AD"/>
    <w:rsid w:val="00791207"/>
    <w:rsid w:val="007936AC"/>
    <w:rsid w:val="0079740D"/>
    <w:rsid w:val="007978E6"/>
    <w:rsid w:val="007A01EA"/>
    <w:rsid w:val="007A403D"/>
    <w:rsid w:val="007A6D35"/>
    <w:rsid w:val="007A6D9A"/>
    <w:rsid w:val="007B1D3B"/>
    <w:rsid w:val="007B1E5E"/>
    <w:rsid w:val="007B5B87"/>
    <w:rsid w:val="007C0026"/>
    <w:rsid w:val="007C752F"/>
    <w:rsid w:val="007D1B6D"/>
    <w:rsid w:val="007D1E41"/>
    <w:rsid w:val="007E6F92"/>
    <w:rsid w:val="007F2D9E"/>
    <w:rsid w:val="007F43D8"/>
    <w:rsid w:val="007F5FE5"/>
    <w:rsid w:val="0080149C"/>
    <w:rsid w:val="0080183B"/>
    <w:rsid w:val="00802463"/>
    <w:rsid w:val="008027E0"/>
    <w:rsid w:val="0080616B"/>
    <w:rsid w:val="00810906"/>
    <w:rsid w:val="0081703A"/>
    <w:rsid w:val="00822855"/>
    <w:rsid w:val="008233CE"/>
    <w:rsid w:val="008235DC"/>
    <w:rsid w:val="0082383B"/>
    <w:rsid w:val="008251B6"/>
    <w:rsid w:val="008359C6"/>
    <w:rsid w:val="008363F8"/>
    <w:rsid w:val="008449CD"/>
    <w:rsid w:val="008531A9"/>
    <w:rsid w:val="00856D3C"/>
    <w:rsid w:val="00867658"/>
    <w:rsid w:val="00872226"/>
    <w:rsid w:val="0088283D"/>
    <w:rsid w:val="00883E3E"/>
    <w:rsid w:val="00886B79"/>
    <w:rsid w:val="00887550"/>
    <w:rsid w:val="008902F6"/>
    <w:rsid w:val="008904D1"/>
    <w:rsid w:val="00892D03"/>
    <w:rsid w:val="008956F3"/>
    <w:rsid w:val="008A11F5"/>
    <w:rsid w:val="008A1215"/>
    <w:rsid w:val="008A18C1"/>
    <w:rsid w:val="008B21A8"/>
    <w:rsid w:val="008B5FD7"/>
    <w:rsid w:val="008B6386"/>
    <w:rsid w:val="008B6682"/>
    <w:rsid w:val="008D194E"/>
    <w:rsid w:val="008D2395"/>
    <w:rsid w:val="008D25C5"/>
    <w:rsid w:val="008D3B8D"/>
    <w:rsid w:val="008E35DB"/>
    <w:rsid w:val="008E7366"/>
    <w:rsid w:val="00905BDF"/>
    <w:rsid w:val="00907763"/>
    <w:rsid w:val="0091624D"/>
    <w:rsid w:val="00921E7C"/>
    <w:rsid w:val="00923558"/>
    <w:rsid w:val="009466B2"/>
    <w:rsid w:val="009469D3"/>
    <w:rsid w:val="00951458"/>
    <w:rsid w:val="00951F50"/>
    <w:rsid w:val="00952893"/>
    <w:rsid w:val="0095547F"/>
    <w:rsid w:val="009578A4"/>
    <w:rsid w:val="009606A9"/>
    <w:rsid w:val="00967116"/>
    <w:rsid w:val="009720B1"/>
    <w:rsid w:val="009A125C"/>
    <w:rsid w:val="009A4FDF"/>
    <w:rsid w:val="009B36EE"/>
    <w:rsid w:val="009B5F38"/>
    <w:rsid w:val="009B6DDA"/>
    <w:rsid w:val="009C0C2A"/>
    <w:rsid w:val="009C54ED"/>
    <w:rsid w:val="009C75BC"/>
    <w:rsid w:val="009C7F75"/>
    <w:rsid w:val="009D2C20"/>
    <w:rsid w:val="009D3844"/>
    <w:rsid w:val="009D4253"/>
    <w:rsid w:val="009E425F"/>
    <w:rsid w:val="009E44DE"/>
    <w:rsid w:val="009E746E"/>
    <w:rsid w:val="009E7D48"/>
    <w:rsid w:val="009F17D3"/>
    <w:rsid w:val="00A00515"/>
    <w:rsid w:val="00A01708"/>
    <w:rsid w:val="00A03484"/>
    <w:rsid w:val="00A073A5"/>
    <w:rsid w:val="00A13F77"/>
    <w:rsid w:val="00A1565E"/>
    <w:rsid w:val="00A22656"/>
    <w:rsid w:val="00A23383"/>
    <w:rsid w:val="00A23E81"/>
    <w:rsid w:val="00A26511"/>
    <w:rsid w:val="00A34A08"/>
    <w:rsid w:val="00A36CAC"/>
    <w:rsid w:val="00A42E37"/>
    <w:rsid w:val="00A43757"/>
    <w:rsid w:val="00A54800"/>
    <w:rsid w:val="00A610DE"/>
    <w:rsid w:val="00A65B8B"/>
    <w:rsid w:val="00A662FC"/>
    <w:rsid w:val="00A670DB"/>
    <w:rsid w:val="00A72CBD"/>
    <w:rsid w:val="00A84D0A"/>
    <w:rsid w:val="00A90BB1"/>
    <w:rsid w:val="00A931F0"/>
    <w:rsid w:val="00A93A2A"/>
    <w:rsid w:val="00A943C8"/>
    <w:rsid w:val="00AB365E"/>
    <w:rsid w:val="00AB5E19"/>
    <w:rsid w:val="00AB68C3"/>
    <w:rsid w:val="00AB6B1D"/>
    <w:rsid w:val="00AC5208"/>
    <w:rsid w:val="00AC5679"/>
    <w:rsid w:val="00AD083E"/>
    <w:rsid w:val="00AD19F7"/>
    <w:rsid w:val="00AD66E4"/>
    <w:rsid w:val="00AE3D29"/>
    <w:rsid w:val="00AE7AE4"/>
    <w:rsid w:val="00AF078C"/>
    <w:rsid w:val="00AF1CEA"/>
    <w:rsid w:val="00AF2DC8"/>
    <w:rsid w:val="00B0724D"/>
    <w:rsid w:val="00B0742D"/>
    <w:rsid w:val="00B12801"/>
    <w:rsid w:val="00B15B4E"/>
    <w:rsid w:val="00B2209A"/>
    <w:rsid w:val="00B23BA6"/>
    <w:rsid w:val="00B315EA"/>
    <w:rsid w:val="00B3402F"/>
    <w:rsid w:val="00B426AC"/>
    <w:rsid w:val="00B45065"/>
    <w:rsid w:val="00B5136D"/>
    <w:rsid w:val="00B62012"/>
    <w:rsid w:val="00B62535"/>
    <w:rsid w:val="00B71503"/>
    <w:rsid w:val="00B72402"/>
    <w:rsid w:val="00B91B33"/>
    <w:rsid w:val="00BA23B4"/>
    <w:rsid w:val="00BA3033"/>
    <w:rsid w:val="00BA57B3"/>
    <w:rsid w:val="00BA65A4"/>
    <w:rsid w:val="00BA70E5"/>
    <w:rsid w:val="00BB130E"/>
    <w:rsid w:val="00BB58BF"/>
    <w:rsid w:val="00BC10BE"/>
    <w:rsid w:val="00BC1805"/>
    <w:rsid w:val="00BC1CD4"/>
    <w:rsid w:val="00BC5473"/>
    <w:rsid w:val="00BE2C66"/>
    <w:rsid w:val="00BE521B"/>
    <w:rsid w:val="00BF0032"/>
    <w:rsid w:val="00BF2D5D"/>
    <w:rsid w:val="00BF69DD"/>
    <w:rsid w:val="00C001C0"/>
    <w:rsid w:val="00C13847"/>
    <w:rsid w:val="00C150AE"/>
    <w:rsid w:val="00C16469"/>
    <w:rsid w:val="00C376FF"/>
    <w:rsid w:val="00C41A38"/>
    <w:rsid w:val="00C43587"/>
    <w:rsid w:val="00C65480"/>
    <w:rsid w:val="00C76A9F"/>
    <w:rsid w:val="00C85ADD"/>
    <w:rsid w:val="00C90DE7"/>
    <w:rsid w:val="00C9360D"/>
    <w:rsid w:val="00C93B53"/>
    <w:rsid w:val="00C9785F"/>
    <w:rsid w:val="00CB63ED"/>
    <w:rsid w:val="00CC1929"/>
    <w:rsid w:val="00CC2C16"/>
    <w:rsid w:val="00CD2948"/>
    <w:rsid w:val="00CD3B9E"/>
    <w:rsid w:val="00CD7DD8"/>
    <w:rsid w:val="00CE40B4"/>
    <w:rsid w:val="00CF0610"/>
    <w:rsid w:val="00CF0B81"/>
    <w:rsid w:val="00CF487F"/>
    <w:rsid w:val="00CF683D"/>
    <w:rsid w:val="00D01A89"/>
    <w:rsid w:val="00D044D0"/>
    <w:rsid w:val="00D1002B"/>
    <w:rsid w:val="00D10F21"/>
    <w:rsid w:val="00D13A46"/>
    <w:rsid w:val="00D43162"/>
    <w:rsid w:val="00D53959"/>
    <w:rsid w:val="00D57261"/>
    <w:rsid w:val="00D6605D"/>
    <w:rsid w:val="00D67FAB"/>
    <w:rsid w:val="00D700BB"/>
    <w:rsid w:val="00D722F2"/>
    <w:rsid w:val="00D77521"/>
    <w:rsid w:val="00D80A81"/>
    <w:rsid w:val="00D82E8A"/>
    <w:rsid w:val="00D848FD"/>
    <w:rsid w:val="00DA1864"/>
    <w:rsid w:val="00DA294E"/>
    <w:rsid w:val="00DB128A"/>
    <w:rsid w:val="00DB3BEC"/>
    <w:rsid w:val="00DC18B2"/>
    <w:rsid w:val="00DC278B"/>
    <w:rsid w:val="00DC4818"/>
    <w:rsid w:val="00DD3061"/>
    <w:rsid w:val="00DF02D5"/>
    <w:rsid w:val="00E07D00"/>
    <w:rsid w:val="00E07D1D"/>
    <w:rsid w:val="00E12D94"/>
    <w:rsid w:val="00E20802"/>
    <w:rsid w:val="00E21C8A"/>
    <w:rsid w:val="00E220EB"/>
    <w:rsid w:val="00E3168B"/>
    <w:rsid w:val="00E40E7C"/>
    <w:rsid w:val="00E40F80"/>
    <w:rsid w:val="00E422E7"/>
    <w:rsid w:val="00E45CBF"/>
    <w:rsid w:val="00E51C35"/>
    <w:rsid w:val="00E55536"/>
    <w:rsid w:val="00E81197"/>
    <w:rsid w:val="00E83118"/>
    <w:rsid w:val="00E851BA"/>
    <w:rsid w:val="00E86178"/>
    <w:rsid w:val="00E9668B"/>
    <w:rsid w:val="00EA0E8D"/>
    <w:rsid w:val="00EA177F"/>
    <w:rsid w:val="00EA64C0"/>
    <w:rsid w:val="00EB030F"/>
    <w:rsid w:val="00EB03A8"/>
    <w:rsid w:val="00ED25E8"/>
    <w:rsid w:val="00EF7CEB"/>
    <w:rsid w:val="00F01D67"/>
    <w:rsid w:val="00F11ACC"/>
    <w:rsid w:val="00F21BBD"/>
    <w:rsid w:val="00F2755B"/>
    <w:rsid w:val="00F3063F"/>
    <w:rsid w:val="00F35CAC"/>
    <w:rsid w:val="00F35E77"/>
    <w:rsid w:val="00F42849"/>
    <w:rsid w:val="00F42C15"/>
    <w:rsid w:val="00F447ED"/>
    <w:rsid w:val="00F47B67"/>
    <w:rsid w:val="00F47BE1"/>
    <w:rsid w:val="00F561A0"/>
    <w:rsid w:val="00F623C1"/>
    <w:rsid w:val="00F6277B"/>
    <w:rsid w:val="00F6406B"/>
    <w:rsid w:val="00F8401A"/>
    <w:rsid w:val="00F90B47"/>
    <w:rsid w:val="00F91633"/>
    <w:rsid w:val="00F92650"/>
    <w:rsid w:val="00F93B8B"/>
    <w:rsid w:val="00F97059"/>
    <w:rsid w:val="00FA6B98"/>
    <w:rsid w:val="00FB3522"/>
    <w:rsid w:val="00FB506C"/>
    <w:rsid w:val="00FB65E5"/>
    <w:rsid w:val="00FC0938"/>
    <w:rsid w:val="00FC733A"/>
    <w:rsid w:val="00FE25B0"/>
    <w:rsid w:val="00FE2F39"/>
    <w:rsid w:val="00FF2454"/>
    <w:rsid w:val="00FF711F"/>
    <w:rsid w:val="00FF79BD"/>
    <w:rsid w:val="0A1246B0"/>
    <w:rsid w:val="0B3F14D4"/>
    <w:rsid w:val="0EA33B28"/>
    <w:rsid w:val="0EFA3365"/>
    <w:rsid w:val="104F7772"/>
    <w:rsid w:val="114C494B"/>
    <w:rsid w:val="12E20FC0"/>
    <w:rsid w:val="14B22C3C"/>
    <w:rsid w:val="17CE4D52"/>
    <w:rsid w:val="183F0913"/>
    <w:rsid w:val="1AEC4B3A"/>
    <w:rsid w:val="1B641070"/>
    <w:rsid w:val="212424C5"/>
    <w:rsid w:val="21FD6B34"/>
    <w:rsid w:val="229D0946"/>
    <w:rsid w:val="2BF81500"/>
    <w:rsid w:val="2E642E7C"/>
    <w:rsid w:val="2F033F15"/>
    <w:rsid w:val="312430A9"/>
    <w:rsid w:val="319E0453"/>
    <w:rsid w:val="356D0135"/>
    <w:rsid w:val="3579545F"/>
    <w:rsid w:val="38243F3B"/>
    <w:rsid w:val="3EA23AC2"/>
    <w:rsid w:val="3F3E5AFD"/>
    <w:rsid w:val="41B97839"/>
    <w:rsid w:val="43251412"/>
    <w:rsid w:val="473D6778"/>
    <w:rsid w:val="48623B31"/>
    <w:rsid w:val="4BE259AD"/>
    <w:rsid w:val="4DF86CCA"/>
    <w:rsid w:val="50F43794"/>
    <w:rsid w:val="51F77D5D"/>
    <w:rsid w:val="52996E86"/>
    <w:rsid w:val="52CF4E0D"/>
    <w:rsid w:val="57723665"/>
    <w:rsid w:val="5B7619ED"/>
    <w:rsid w:val="5C1169E4"/>
    <w:rsid w:val="5C8005D2"/>
    <w:rsid w:val="5D600B2F"/>
    <w:rsid w:val="60356884"/>
    <w:rsid w:val="62EE40D6"/>
    <w:rsid w:val="631E5B99"/>
    <w:rsid w:val="65BD63F3"/>
    <w:rsid w:val="677458A5"/>
    <w:rsid w:val="67DA3E2F"/>
    <w:rsid w:val="6C16685D"/>
    <w:rsid w:val="730F68EF"/>
    <w:rsid w:val="73486CB1"/>
    <w:rsid w:val="735F75A6"/>
    <w:rsid w:val="75703482"/>
    <w:rsid w:val="77AA4606"/>
    <w:rsid w:val="77CD5B00"/>
    <w:rsid w:val="79144124"/>
    <w:rsid w:val="79674B9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1" w:semiHidden="0" w:name="heading 3"/>
    <w:lsdException w:qFormat="1" w:uiPriority="9" w:name="heading 4"/>
    <w:lsdException w:qFormat="1" w:uiPriority="9"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2"/>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4">
    <w:name w:val="heading 2"/>
    <w:basedOn w:val="1"/>
    <w:next w:val="1"/>
    <w:link w:val="23"/>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qFormat/>
    <w:uiPriority w:val="1"/>
    <w:pPr>
      <w:spacing w:before="34"/>
      <w:ind w:left="113"/>
      <w:outlineLvl w:val="2"/>
    </w:pPr>
    <w:rPr>
      <w:rFonts w:ascii="宋体" w:hAnsi="宋体" w:eastAsia="宋体"/>
      <w:b/>
      <w:bCs/>
      <w:sz w:val="24"/>
      <w:szCs w:val="24"/>
    </w:rPr>
  </w:style>
  <w:style w:type="paragraph" w:styleId="6">
    <w:name w:val="heading 6"/>
    <w:basedOn w:val="1"/>
    <w:next w:val="1"/>
    <w:link w:val="26"/>
    <w:qFormat/>
    <w:uiPriority w:val="9"/>
    <w:pPr>
      <w:widowControl/>
      <w:spacing w:before="100" w:beforeAutospacing="1" w:after="100" w:afterAutospacing="1"/>
      <w:jc w:val="left"/>
      <w:outlineLvl w:val="5"/>
    </w:pPr>
    <w:rPr>
      <w:rFonts w:ascii="宋体" w:hAnsi="宋体" w:eastAsia="宋体" w:cs="宋体"/>
      <w:b/>
      <w:bCs/>
      <w:kern w:val="0"/>
      <w:sz w:val="15"/>
      <w:szCs w:val="15"/>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qFormat/>
    <w:uiPriority w:val="39"/>
    <w:pPr>
      <w:spacing w:before="154"/>
      <w:ind w:left="6"/>
    </w:pPr>
    <w:rPr>
      <w:rFonts w:ascii="宋体" w:hAnsi="宋体" w:eastAsia="宋体"/>
      <w:sz w:val="24"/>
      <w:szCs w:val="24"/>
    </w:rPr>
  </w:style>
  <w:style w:type="paragraph" w:styleId="7">
    <w:name w:val="annotation text"/>
    <w:basedOn w:val="1"/>
    <w:link w:val="28"/>
    <w:semiHidden/>
    <w:unhideWhenUsed/>
    <w:qFormat/>
    <w:uiPriority w:val="99"/>
    <w:pPr>
      <w:jc w:val="left"/>
    </w:pPr>
  </w:style>
  <w:style w:type="paragraph" w:styleId="8">
    <w:name w:val="Body Text"/>
    <w:basedOn w:val="1"/>
    <w:link w:val="37"/>
    <w:semiHidden/>
    <w:unhideWhenUsed/>
    <w:qFormat/>
    <w:uiPriority w:val="99"/>
    <w:pPr>
      <w:spacing w:after="120"/>
    </w:pPr>
  </w:style>
  <w:style w:type="paragraph" w:styleId="9">
    <w:name w:val="Body Text Indent"/>
    <w:basedOn w:val="1"/>
    <w:link w:val="31"/>
    <w:qFormat/>
    <w:uiPriority w:val="0"/>
    <w:pPr>
      <w:ind w:firstLine="830" w:firstLineChars="352"/>
    </w:pPr>
    <w:rPr>
      <w:rFonts w:ascii="仿宋_GB2312" w:eastAsia="仿宋_GB2312"/>
      <w:sz w:val="32"/>
    </w:rPr>
  </w:style>
  <w:style w:type="paragraph" w:styleId="10">
    <w:name w:val="Plain Text"/>
    <w:basedOn w:val="1"/>
    <w:link w:val="32"/>
    <w:qFormat/>
    <w:uiPriority w:val="0"/>
    <w:rPr>
      <w:rFonts w:ascii="宋体" w:hAnsi="Courier New" w:eastAsia="宋体" w:cs="Courier New"/>
      <w:szCs w:val="21"/>
    </w:rPr>
  </w:style>
  <w:style w:type="paragraph" w:styleId="11">
    <w:name w:val="Balloon Text"/>
    <w:basedOn w:val="1"/>
    <w:link w:val="30"/>
    <w:semiHidden/>
    <w:unhideWhenUsed/>
    <w:qFormat/>
    <w:uiPriority w:val="99"/>
    <w:rPr>
      <w:sz w:val="18"/>
      <w:szCs w:val="18"/>
    </w:rPr>
  </w:style>
  <w:style w:type="paragraph" w:styleId="12">
    <w:name w:val="footer"/>
    <w:basedOn w:val="1"/>
    <w:link w:val="25"/>
    <w:unhideWhenUsed/>
    <w:qFormat/>
    <w:uiPriority w:val="99"/>
    <w:pPr>
      <w:tabs>
        <w:tab w:val="center" w:pos="4153"/>
        <w:tab w:val="right" w:pos="8306"/>
      </w:tabs>
      <w:snapToGrid w:val="0"/>
      <w:jc w:val="left"/>
    </w:pPr>
    <w:rPr>
      <w:sz w:val="18"/>
      <w:szCs w:val="18"/>
    </w:rPr>
  </w:style>
  <w:style w:type="paragraph" w:styleId="13">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5">
    <w:name w:val="annotation subject"/>
    <w:basedOn w:val="7"/>
    <w:next w:val="7"/>
    <w:link w:val="29"/>
    <w:semiHidden/>
    <w:unhideWhenUsed/>
    <w:qFormat/>
    <w:uiPriority w:val="99"/>
    <w:rPr>
      <w:b/>
      <w:bCs/>
    </w:rPr>
  </w:style>
  <w:style w:type="table" w:styleId="17">
    <w:name w:val="Table Grid"/>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22"/>
    <w:rPr>
      <w:b/>
      <w:bCs/>
    </w:rPr>
  </w:style>
  <w:style w:type="character" w:styleId="20">
    <w:name w:val="Hyperlink"/>
    <w:basedOn w:val="18"/>
    <w:unhideWhenUsed/>
    <w:qFormat/>
    <w:uiPriority w:val="99"/>
    <w:rPr>
      <w:color w:val="0000FF"/>
      <w:u w:val="single"/>
    </w:rPr>
  </w:style>
  <w:style w:type="character" w:styleId="21">
    <w:name w:val="annotation reference"/>
    <w:basedOn w:val="18"/>
    <w:semiHidden/>
    <w:unhideWhenUsed/>
    <w:qFormat/>
    <w:uiPriority w:val="99"/>
    <w:rPr>
      <w:sz w:val="21"/>
      <w:szCs w:val="21"/>
    </w:rPr>
  </w:style>
  <w:style w:type="character" w:customStyle="1" w:styleId="22">
    <w:name w:val="标题 1 Char"/>
    <w:basedOn w:val="18"/>
    <w:link w:val="3"/>
    <w:qFormat/>
    <w:uiPriority w:val="9"/>
    <w:rPr>
      <w:rFonts w:ascii="宋体" w:hAnsi="宋体" w:eastAsia="宋体" w:cs="宋体"/>
      <w:b/>
      <w:bCs/>
      <w:kern w:val="36"/>
      <w:sz w:val="48"/>
      <w:szCs w:val="48"/>
    </w:rPr>
  </w:style>
  <w:style w:type="character" w:customStyle="1" w:styleId="23">
    <w:name w:val="标题 2 Char"/>
    <w:basedOn w:val="18"/>
    <w:link w:val="4"/>
    <w:semiHidden/>
    <w:qFormat/>
    <w:uiPriority w:val="9"/>
    <w:rPr>
      <w:rFonts w:asciiTheme="majorHAnsi" w:hAnsiTheme="majorHAnsi" w:eastAsiaTheme="majorEastAsia" w:cstheme="majorBidi"/>
      <w:b/>
      <w:bCs/>
      <w:sz w:val="32"/>
      <w:szCs w:val="32"/>
    </w:rPr>
  </w:style>
  <w:style w:type="character" w:customStyle="1" w:styleId="24">
    <w:name w:val="页眉 Char"/>
    <w:basedOn w:val="18"/>
    <w:link w:val="13"/>
    <w:qFormat/>
    <w:uiPriority w:val="99"/>
    <w:rPr>
      <w:sz w:val="18"/>
      <w:szCs w:val="18"/>
    </w:rPr>
  </w:style>
  <w:style w:type="character" w:customStyle="1" w:styleId="25">
    <w:name w:val="页脚 Char"/>
    <w:basedOn w:val="18"/>
    <w:link w:val="12"/>
    <w:qFormat/>
    <w:uiPriority w:val="99"/>
    <w:rPr>
      <w:sz w:val="18"/>
      <w:szCs w:val="18"/>
    </w:rPr>
  </w:style>
  <w:style w:type="character" w:customStyle="1" w:styleId="26">
    <w:name w:val="标题 6 Char"/>
    <w:basedOn w:val="18"/>
    <w:link w:val="6"/>
    <w:qFormat/>
    <w:uiPriority w:val="9"/>
    <w:rPr>
      <w:rFonts w:ascii="宋体" w:hAnsi="宋体" w:eastAsia="宋体" w:cs="宋体"/>
      <w:b/>
      <w:bCs/>
      <w:kern w:val="0"/>
      <w:sz w:val="15"/>
      <w:szCs w:val="15"/>
    </w:rPr>
  </w:style>
  <w:style w:type="character" w:customStyle="1" w:styleId="27">
    <w:name w:val="wp_visitcount"/>
    <w:basedOn w:val="18"/>
    <w:qFormat/>
    <w:uiPriority w:val="0"/>
  </w:style>
  <w:style w:type="character" w:customStyle="1" w:styleId="28">
    <w:name w:val="批注文字 Char"/>
    <w:basedOn w:val="18"/>
    <w:link w:val="7"/>
    <w:semiHidden/>
    <w:qFormat/>
    <w:uiPriority w:val="99"/>
  </w:style>
  <w:style w:type="character" w:customStyle="1" w:styleId="29">
    <w:name w:val="批注主题 Char"/>
    <w:basedOn w:val="28"/>
    <w:link w:val="15"/>
    <w:semiHidden/>
    <w:qFormat/>
    <w:uiPriority w:val="99"/>
    <w:rPr>
      <w:b/>
      <w:bCs/>
    </w:rPr>
  </w:style>
  <w:style w:type="character" w:customStyle="1" w:styleId="30">
    <w:name w:val="批注框文本 Char"/>
    <w:basedOn w:val="18"/>
    <w:link w:val="11"/>
    <w:semiHidden/>
    <w:qFormat/>
    <w:uiPriority w:val="99"/>
    <w:rPr>
      <w:sz w:val="18"/>
      <w:szCs w:val="18"/>
    </w:rPr>
  </w:style>
  <w:style w:type="character" w:customStyle="1" w:styleId="31">
    <w:name w:val="正文文本缩进 Char1"/>
    <w:link w:val="9"/>
    <w:qFormat/>
    <w:uiPriority w:val="0"/>
    <w:rPr>
      <w:rFonts w:ascii="仿宋_GB2312" w:eastAsia="仿宋_GB2312"/>
      <w:sz w:val="32"/>
    </w:rPr>
  </w:style>
  <w:style w:type="character" w:customStyle="1" w:styleId="32">
    <w:name w:val="纯文本 Char"/>
    <w:link w:val="10"/>
    <w:qFormat/>
    <w:uiPriority w:val="0"/>
    <w:rPr>
      <w:rFonts w:ascii="宋体" w:hAnsi="Courier New" w:eastAsia="宋体" w:cs="Courier New"/>
      <w:szCs w:val="21"/>
    </w:rPr>
  </w:style>
  <w:style w:type="character" w:customStyle="1" w:styleId="33">
    <w:name w:val="正文文本缩进 Char"/>
    <w:basedOn w:val="18"/>
    <w:semiHidden/>
    <w:qFormat/>
    <w:uiPriority w:val="99"/>
  </w:style>
  <w:style w:type="character" w:customStyle="1" w:styleId="34">
    <w:name w:val="纯文本 Char1"/>
    <w:basedOn w:val="18"/>
    <w:semiHidden/>
    <w:qFormat/>
    <w:uiPriority w:val="99"/>
    <w:rPr>
      <w:rFonts w:ascii="宋体" w:hAnsi="Courier New" w:eastAsia="宋体" w:cs="Courier New"/>
      <w:szCs w:val="21"/>
    </w:rPr>
  </w:style>
  <w:style w:type="paragraph" w:customStyle="1" w:styleId="35">
    <w:name w:val="表格文字"/>
    <w:basedOn w:val="1"/>
    <w:next w:val="1"/>
    <w:qFormat/>
    <w:uiPriority w:val="0"/>
    <w:pPr>
      <w:jc w:val="left"/>
    </w:pPr>
    <w:rPr>
      <w:rFonts w:ascii="宋体" w:hAnsi="宋体" w:eastAsia="宋体" w:cs="宋体"/>
      <w:kern w:val="0"/>
      <w:sz w:val="24"/>
      <w:szCs w:val="20"/>
    </w:rPr>
  </w:style>
  <w:style w:type="paragraph" w:styleId="36">
    <w:name w:val="List Paragraph"/>
    <w:basedOn w:val="1"/>
    <w:qFormat/>
    <w:uiPriority w:val="34"/>
    <w:pPr>
      <w:spacing w:line="360" w:lineRule="auto"/>
      <w:ind w:firstLine="420" w:firstLineChars="200"/>
      <w:jc w:val="left"/>
    </w:pPr>
    <w:rPr>
      <w:rFonts w:ascii="宋体" w:hAnsi="宋体" w:eastAsia="宋体" w:cs="宋体"/>
      <w:kern w:val="0"/>
      <w:sz w:val="24"/>
      <w:szCs w:val="20"/>
    </w:rPr>
  </w:style>
  <w:style w:type="character" w:customStyle="1" w:styleId="37">
    <w:name w:val="正文文本 Char"/>
    <w:basedOn w:val="18"/>
    <w:link w:val="8"/>
    <w:semiHidden/>
    <w:qFormat/>
    <w:uiPriority w:val="99"/>
    <w:rPr>
      <w:kern w:val="2"/>
      <w:sz w:val="21"/>
      <w:szCs w:val="22"/>
    </w:rPr>
  </w:style>
  <w:style w:type="paragraph" w:customStyle="1" w:styleId="38">
    <w:name w:val="Table Paragraph"/>
    <w:basedOn w:val="1"/>
    <w:qFormat/>
    <w:uiPriority w:val="1"/>
    <w:pPr>
      <w:jc w:val="left"/>
    </w:pPr>
    <w:rPr>
      <w:rFonts w:ascii="Calibri" w:hAnsi="Calibri" w:eastAsia="宋体" w:cs="Times New Roman"/>
      <w:kern w:val="0"/>
      <w:sz w:val="22"/>
      <w:lang w:eastAsia="en-US"/>
    </w:rPr>
  </w:style>
  <w:style w:type="table" w:customStyle="1" w:styleId="39">
    <w:name w:val="Table Normal"/>
    <w:semiHidden/>
    <w:unhideWhenUsed/>
    <w:qFormat/>
    <w:uiPriority w:val="2"/>
    <w:tblPr>
      <w:tblCellMar>
        <w:top w:w="0" w:type="dxa"/>
        <w:left w:w="0" w:type="dxa"/>
        <w:bottom w:w="0" w:type="dxa"/>
        <w:right w:w="0" w:type="dxa"/>
      </w:tblCellMar>
    </w:tblPr>
  </w:style>
  <w:style w:type="paragraph" w:customStyle="1" w:styleId="40">
    <w:name w:val="小字体居中"/>
    <w:basedOn w:val="1"/>
    <w:qFormat/>
    <w:uiPriority w:val="0"/>
    <w:pPr>
      <w:spacing w:line="240" w:lineRule="auto"/>
      <w:ind w:firstLine="0" w:firstLineChars="0"/>
      <w:jc w:val="center"/>
      <w:textAlignment w:val="auto"/>
    </w:pPr>
    <w:rPr>
      <w:rFonts w:eastAsia="楷体_GB2312"/>
      <w:sz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image" Target="media/image2.wmf"/><Relationship Id="rId6" Type="http://schemas.openxmlformats.org/officeDocument/2006/relationships/oleObject" Target="embeddings/oleObject1.bin"/><Relationship Id="rId5" Type="http://schemas.openxmlformats.org/officeDocument/2006/relationships/image" Target="media/image1.bmp"/><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3CF2C5-8B51-464D-8526-90AAD5AF0E39}">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10</Pages>
  <Words>4626</Words>
  <Characters>4916</Characters>
  <Lines>32</Lines>
  <Paragraphs>9</Paragraphs>
  <TotalTime>4</TotalTime>
  <ScaleCrop>false</ScaleCrop>
  <LinksUpToDate>false</LinksUpToDate>
  <CharactersWithSpaces>4959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2022-04-25T02:08:00Z</dcterms:created>
  <dc:creator>ASUS</dc:creator>
  <cp:lastModifiedBy>冲，俊！</cp:lastModifiedBy>
  <cp:lastPrinted>2022-06-16T05:05:00Z</cp:lastPrinted>
  <dcterms:modified xsi:type="dcterms:W3CDTF">2022-06-16T06:57:43Z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0B53CE6FD0BE45E48B3C23A5570C46F5</vt:lpwstr>
  </property>
</Properties>
</file>