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40" w:lineRule="atLeast"/>
        <w:jc w:val="center"/>
        <w:rPr>
          <w:rFonts w:ascii="宋体" w:hAnsi="宋体" w:eastAsia="宋体" w:cs="宋体"/>
          <w:b/>
          <w:bCs/>
          <w:kern w:val="0"/>
          <w:sz w:val="32"/>
          <w:szCs w:val="32"/>
        </w:rPr>
      </w:pPr>
      <w:r>
        <w:rPr>
          <w:rFonts w:hint="eastAsia" w:ascii="宋体" w:hAnsi="宋体" w:eastAsia="宋体" w:cs="宋体"/>
          <w:b/>
          <w:bCs/>
          <w:kern w:val="0"/>
          <w:sz w:val="32"/>
          <w:szCs w:val="32"/>
        </w:rPr>
        <w:t xml:space="preserve">大泉路快速化改造工程勘察项目遴选公告 </w:t>
      </w:r>
    </w:p>
    <w:p>
      <w:pPr>
        <w:widowControl/>
        <w:spacing w:line="440" w:lineRule="atLeast"/>
        <w:jc w:val="center"/>
        <w:rPr>
          <w:rFonts w:ascii="宋体" w:hAnsi="宋体" w:eastAsia="宋体" w:cs="宋体"/>
          <w:b/>
          <w:bCs/>
          <w:kern w:val="0"/>
          <w:szCs w:val="21"/>
        </w:rPr>
      </w:pPr>
    </w:p>
    <w:p>
      <w:pPr>
        <w:widowControl/>
        <w:shd w:val="clear" w:color="auto" w:fill="FFFFFF"/>
        <w:spacing w:line="360" w:lineRule="auto"/>
        <w:ind w:firstLine="480" w:firstLineChars="200"/>
        <w:rPr>
          <w:rFonts w:ascii="宋体" w:hAnsi="宋体" w:cs="宋体"/>
          <w:kern w:val="0"/>
          <w:sz w:val="24"/>
          <w:szCs w:val="24"/>
        </w:rPr>
      </w:pPr>
      <w:r>
        <w:rPr>
          <w:rFonts w:hint="eastAsia" w:ascii="宋体" w:hAnsi="宋体" w:cs="宋体"/>
          <w:kern w:val="0"/>
          <w:sz w:val="24"/>
          <w:szCs w:val="24"/>
        </w:rPr>
        <w:t xml:space="preserve">黄石城发工程咨询有限公司受黄石市城市建设投资开发有限责任公司的委托，拟就大泉路快速化改造工程勘察项目以集团平台公开遴选方式选取实施人。 </w:t>
      </w:r>
    </w:p>
    <w:p>
      <w:pPr>
        <w:widowControl/>
        <w:numPr>
          <w:ilvl w:val="0"/>
          <w:numId w:val="0"/>
        </w:numPr>
        <w:shd w:val="clear" w:color="auto" w:fill="FFFFFF"/>
        <w:spacing w:line="360" w:lineRule="auto"/>
        <w:ind w:firstLine="480" w:firstLineChars="200"/>
        <w:rPr>
          <w:sz w:val="24"/>
          <w:szCs w:val="28"/>
        </w:rPr>
      </w:pPr>
      <w:r>
        <w:rPr>
          <w:rFonts w:hint="eastAsia" w:ascii="宋体" w:hAnsi="宋体" w:cs="宋体"/>
          <w:kern w:val="0"/>
          <w:sz w:val="24"/>
          <w:szCs w:val="24"/>
          <w:lang w:val="en-US" w:eastAsia="zh-CN"/>
        </w:rPr>
        <w:t>一、</w:t>
      </w:r>
      <w:r>
        <w:rPr>
          <w:rFonts w:hint="eastAsia" w:ascii="宋体" w:hAnsi="宋体" w:cs="宋体"/>
          <w:kern w:val="0"/>
          <w:sz w:val="24"/>
          <w:szCs w:val="24"/>
        </w:rPr>
        <w:t>项目名称：大泉路快速化改造工程勘察项目</w:t>
      </w:r>
    </w:p>
    <w:p>
      <w:pPr>
        <w:widowControl/>
        <w:numPr>
          <w:ilvl w:val="0"/>
          <w:numId w:val="0"/>
        </w:numPr>
        <w:shd w:val="clear" w:color="auto" w:fill="FFFFFF"/>
        <w:spacing w:line="360" w:lineRule="auto"/>
        <w:ind w:firstLine="480" w:firstLineChars="200"/>
        <w:rPr>
          <w:rFonts w:hint="default" w:ascii="宋体" w:hAnsi="宋体" w:cs="宋体"/>
          <w:kern w:val="0"/>
          <w:sz w:val="24"/>
          <w:szCs w:val="24"/>
          <w:lang w:val="en-US" w:eastAsia="zh-CN"/>
        </w:rPr>
      </w:pPr>
      <w:r>
        <w:rPr>
          <w:rFonts w:hint="eastAsia" w:ascii="宋体" w:hAnsi="宋体" w:cs="宋体"/>
          <w:kern w:val="0"/>
          <w:sz w:val="24"/>
          <w:szCs w:val="24"/>
          <w:lang w:val="en-US" w:eastAsia="zh-CN"/>
        </w:rPr>
        <w:t>二、项目编号：CFGCZX2022-082</w:t>
      </w:r>
    </w:p>
    <w:p>
      <w:pPr>
        <w:widowControl/>
        <w:shd w:val="clear" w:color="auto" w:fill="FFFFFF"/>
        <w:spacing w:line="360" w:lineRule="auto"/>
        <w:ind w:firstLine="480" w:firstLineChars="200"/>
        <w:rPr>
          <w:rFonts w:ascii="宋体" w:hAnsi="宋体" w:cs="宋体"/>
          <w:kern w:val="0"/>
          <w:sz w:val="24"/>
          <w:szCs w:val="24"/>
        </w:rPr>
      </w:pPr>
      <w:r>
        <w:rPr>
          <w:rFonts w:hint="eastAsia" w:ascii="宋体" w:hAnsi="宋体" w:cs="宋体"/>
          <w:kern w:val="0"/>
          <w:sz w:val="24"/>
          <w:szCs w:val="24"/>
          <w:lang w:val="en-US" w:eastAsia="zh-CN"/>
        </w:rPr>
        <w:t>三</w:t>
      </w:r>
      <w:r>
        <w:rPr>
          <w:rFonts w:hint="eastAsia" w:ascii="宋体" w:hAnsi="宋体" w:cs="宋体"/>
          <w:kern w:val="0"/>
          <w:sz w:val="24"/>
          <w:szCs w:val="24"/>
        </w:rPr>
        <w:t>、项目概况：</w:t>
      </w:r>
    </w:p>
    <w:p>
      <w:pPr>
        <w:widowControl/>
        <w:shd w:val="clear" w:color="auto" w:fill="FFFFFF"/>
        <w:spacing w:line="360" w:lineRule="auto"/>
        <w:ind w:firstLine="480" w:firstLineChars="200"/>
        <w:rPr>
          <w:rFonts w:ascii="宋体" w:hAnsi="宋体" w:cs="宋体"/>
          <w:kern w:val="0"/>
          <w:sz w:val="24"/>
          <w:szCs w:val="24"/>
        </w:rPr>
      </w:pPr>
      <w:r>
        <w:rPr>
          <w:rFonts w:hint="eastAsia" w:ascii="宋体" w:hAnsi="宋体" w:cs="宋体"/>
          <w:kern w:val="0"/>
          <w:sz w:val="24"/>
          <w:szCs w:val="24"/>
        </w:rPr>
        <w:t>1、</w:t>
      </w:r>
      <w:r>
        <w:rPr>
          <w:rFonts w:hint="eastAsia" w:ascii="宋体" w:hAnsi="宋体" w:cs="宋体"/>
          <w:kern w:val="0"/>
          <w:sz w:val="24"/>
          <w:szCs w:val="24"/>
          <w:highlight w:val="yellow"/>
        </w:rPr>
        <w:t>控制价金额为</w:t>
      </w:r>
      <w:r>
        <w:rPr>
          <w:rFonts w:hint="eastAsia" w:ascii="宋体" w:hAnsi="宋体" w:cs="宋体"/>
          <w:kern w:val="0"/>
          <w:sz w:val="24"/>
          <w:szCs w:val="24"/>
          <w:highlight w:val="yellow"/>
          <w:lang w:val="en-US" w:eastAsia="zh-CN"/>
        </w:rPr>
        <w:t>90</w:t>
      </w:r>
      <w:r>
        <w:rPr>
          <w:rFonts w:hint="eastAsia" w:ascii="宋体" w:hAnsi="宋体" w:cs="宋体"/>
          <w:kern w:val="0"/>
          <w:sz w:val="24"/>
          <w:szCs w:val="24"/>
          <w:highlight w:val="yellow"/>
        </w:rPr>
        <w:t>万元</w:t>
      </w:r>
      <w:r>
        <w:rPr>
          <w:rFonts w:hint="eastAsia" w:ascii="宋体" w:hAnsi="宋体" w:cs="宋体"/>
          <w:kern w:val="0"/>
          <w:sz w:val="24"/>
          <w:szCs w:val="24"/>
          <w:highlight w:val="yellow"/>
          <w:lang w:eastAsia="zh-CN"/>
        </w:rPr>
        <w:t>。其中勘察最高限价</w:t>
      </w:r>
      <w:r>
        <w:rPr>
          <w:rFonts w:hint="eastAsia" w:ascii="宋体" w:hAnsi="宋体" w:cs="宋体"/>
          <w:kern w:val="0"/>
          <w:sz w:val="24"/>
          <w:szCs w:val="24"/>
          <w:highlight w:val="yellow"/>
          <w:lang w:val="en-US" w:eastAsia="zh-CN"/>
        </w:rPr>
        <w:t>90元/米</w:t>
      </w:r>
      <w:r>
        <w:rPr>
          <w:rFonts w:hint="eastAsia" w:ascii="宋体" w:hAnsi="宋体" w:cs="宋体"/>
          <w:kern w:val="0"/>
          <w:sz w:val="24"/>
          <w:szCs w:val="24"/>
        </w:rPr>
        <w:t>。</w:t>
      </w:r>
    </w:p>
    <w:p>
      <w:pPr>
        <w:widowControl/>
        <w:shd w:val="clear" w:color="auto" w:fill="FFFFFF"/>
        <w:spacing w:line="360" w:lineRule="auto"/>
        <w:ind w:firstLine="480" w:firstLineChars="200"/>
        <w:rPr>
          <w:rFonts w:ascii="宋体" w:hAnsi="宋体" w:cs="宋体"/>
          <w:kern w:val="0"/>
          <w:sz w:val="24"/>
          <w:szCs w:val="24"/>
        </w:rPr>
      </w:pPr>
      <w:r>
        <w:rPr>
          <w:rFonts w:hint="eastAsia" w:ascii="宋体" w:hAnsi="宋体" w:cs="宋体"/>
          <w:kern w:val="0"/>
          <w:sz w:val="24"/>
          <w:szCs w:val="24"/>
        </w:rPr>
        <w:t>本次工程地质勘察的主要目的是研究全线地形、地貌、岩性、地质构造、不良地质、水文气象、地震等工程地质条件及其与工程的关系，并作出评价；明确本项目的工程地质勘察重点，有针对性的进行工程地质勘察工作，为确定路线方案、工程构造物的位置和编制设计文件等提供准确、完整的工程地质资料。</w:t>
      </w:r>
    </w:p>
    <w:p>
      <w:pPr>
        <w:widowControl/>
        <w:shd w:val="clear" w:color="auto" w:fill="FFFFFF"/>
        <w:spacing w:line="360" w:lineRule="auto"/>
        <w:ind w:firstLine="480" w:firstLineChars="200"/>
        <w:rPr>
          <w:rFonts w:hint="default" w:ascii="宋体" w:hAnsi="宋体" w:cs="宋体" w:eastAsiaTheme="minorEastAsia"/>
          <w:kern w:val="0"/>
          <w:sz w:val="24"/>
          <w:szCs w:val="24"/>
          <w:lang w:val="en-US" w:eastAsia="zh-CN"/>
        </w:rPr>
      </w:pPr>
      <w:r>
        <w:rPr>
          <w:rFonts w:hint="eastAsia" w:ascii="宋体" w:hAnsi="宋体" w:cs="宋体"/>
          <w:kern w:val="0"/>
          <w:sz w:val="24"/>
          <w:szCs w:val="24"/>
        </w:rPr>
        <w:t>2、遴选范围：</w:t>
      </w:r>
      <w:r>
        <w:rPr>
          <w:rFonts w:hint="eastAsia" w:ascii="宋体" w:hAnsi="宋体" w:cs="宋体"/>
          <w:kern w:val="0"/>
          <w:sz w:val="24"/>
          <w:szCs w:val="24"/>
          <w:lang w:eastAsia="zh-CN"/>
        </w:rPr>
        <w:t>（</w:t>
      </w:r>
      <w:r>
        <w:rPr>
          <w:rFonts w:hint="eastAsia" w:ascii="宋体" w:hAnsi="宋体" w:cs="宋体"/>
          <w:kern w:val="0"/>
          <w:sz w:val="24"/>
          <w:szCs w:val="24"/>
          <w:lang w:val="en-US" w:eastAsia="zh-CN"/>
        </w:rPr>
        <w:t>1）地质勘察总长度约为8770米：</w:t>
      </w:r>
      <w:r>
        <w:rPr>
          <w:rFonts w:hint="eastAsia" w:ascii="宋体" w:hAnsi="宋体" w:cs="宋体"/>
          <w:kern w:val="0"/>
          <w:sz w:val="24"/>
          <w:szCs w:val="24"/>
        </w:rPr>
        <w:t>桥梁钻孔128个，钻孔总深度5376m</w:t>
      </w:r>
      <w:r>
        <w:rPr>
          <w:rFonts w:hint="eastAsia" w:ascii="宋体" w:hAnsi="宋体" w:cs="宋体"/>
          <w:kern w:val="0"/>
          <w:sz w:val="24"/>
          <w:szCs w:val="24"/>
          <w:lang w:eastAsia="zh-CN"/>
        </w:rPr>
        <w:t>；</w:t>
      </w:r>
      <w:r>
        <w:rPr>
          <w:rFonts w:hint="eastAsia" w:ascii="宋体" w:hAnsi="宋体" w:cs="宋体"/>
          <w:kern w:val="0"/>
          <w:sz w:val="24"/>
          <w:szCs w:val="24"/>
        </w:rPr>
        <w:t>通道钻孔23个</w:t>
      </w:r>
      <w:bookmarkStart w:id="10" w:name="_GoBack"/>
      <w:bookmarkEnd w:id="10"/>
      <w:r>
        <w:rPr>
          <w:rFonts w:hint="eastAsia" w:ascii="宋体" w:hAnsi="宋体" w:cs="宋体"/>
          <w:kern w:val="0"/>
          <w:sz w:val="24"/>
          <w:szCs w:val="24"/>
        </w:rPr>
        <w:t>，钻孔总深度348m</w:t>
      </w:r>
      <w:r>
        <w:rPr>
          <w:rFonts w:hint="eastAsia" w:ascii="宋体" w:hAnsi="宋体" w:cs="宋体"/>
          <w:kern w:val="0"/>
          <w:sz w:val="24"/>
          <w:szCs w:val="24"/>
          <w:lang w:eastAsia="zh-CN"/>
        </w:rPr>
        <w:t>；</w:t>
      </w:r>
      <w:r>
        <w:rPr>
          <w:rFonts w:hint="eastAsia" w:ascii="宋体" w:hAnsi="宋体" w:cs="宋体"/>
          <w:kern w:val="0"/>
          <w:sz w:val="24"/>
          <w:szCs w:val="24"/>
        </w:rPr>
        <w:t>一般路基孔70个，孔深15m；特殊路基孔12个，孔深25m，路基孔总长1350m</w:t>
      </w:r>
      <w:r>
        <w:rPr>
          <w:rFonts w:hint="eastAsia" w:ascii="宋体" w:hAnsi="宋体" w:cs="宋体"/>
          <w:kern w:val="0"/>
          <w:sz w:val="24"/>
          <w:szCs w:val="24"/>
          <w:lang w:eastAsia="zh-CN"/>
        </w:rPr>
        <w:t>；</w:t>
      </w:r>
      <w:r>
        <w:rPr>
          <w:rFonts w:hint="eastAsia" w:ascii="宋体" w:hAnsi="宋体" w:cs="宋体"/>
          <w:kern w:val="0"/>
          <w:sz w:val="24"/>
          <w:szCs w:val="24"/>
        </w:rPr>
        <w:t>管网钻孔113个，共长1695m。</w:t>
      </w:r>
      <w:r>
        <w:rPr>
          <w:rFonts w:hint="eastAsia" w:ascii="宋体" w:hAnsi="宋体" w:cs="宋体"/>
          <w:kern w:val="0"/>
          <w:sz w:val="24"/>
          <w:szCs w:val="24"/>
          <w:lang w:eastAsia="zh-CN"/>
        </w:rPr>
        <w:t>（</w:t>
      </w:r>
      <w:r>
        <w:rPr>
          <w:rFonts w:hint="eastAsia" w:ascii="宋体" w:hAnsi="宋体" w:cs="宋体"/>
          <w:kern w:val="0"/>
          <w:sz w:val="24"/>
          <w:szCs w:val="24"/>
          <w:lang w:val="en-US" w:eastAsia="zh-CN"/>
        </w:rPr>
        <w:t>2）物探：设计范围内的给水、排水（雨水、污水）、通讯（例如电信、移动、联通及军用光缆等）、电力（10kv以上）、燃气（煤气）、热力、高压输油管道等各类地上、地下管线, 在交叉口范围的排水（雨水、污水）、电力、电信等管线探测范围原则上为设计范围向前延伸两个井位，以及现状道路主线两侧有住户区域须测出各种管线接户现状。对应各种管线的平面位置（坐标）、对应地面高程、管底高程、断面尺寸、淤积情况、各井的尺寸及井盖的尺寸等；范围内河涌水位、涌底标高、堤岸材料、堤岸尺寸等。</w:t>
      </w:r>
    </w:p>
    <w:p>
      <w:pPr>
        <w:widowControl/>
        <w:shd w:val="clear" w:color="auto" w:fill="FFFFFF"/>
        <w:spacing w:line="360" w:lineRule="auto"/>
        <w:ind w:firstLine="480" w:firstLineChars="200"/>
        <w:rPr>
          <w:rFonts w:ascii="宋体" w:hAnsi="宋体" w:cs="宋体"/>
          <w:kern w:val="0"/>
          <w:sz w:val="24"/>
          <w:szCs w:val="24"/>
        </w:rPr>
      </w:pPr>
      <w:r>
        <w:rPr>
          <w:rFonts w:hint="eastAsia" w:ascii="宋体" w:hAnsi="宋体" w:cs="宋体"/>
          <w:kern w:val="0"/>
          <w:sz w:val="24"/>
          <w:szCs w:val="24"/>
        </w:rPr>
        <w:t>3、工期：</w:t>
      </w:r>
      <w:r>
        <w:rPr>
          <w:rFonts w:hint="eastAsia" w:ascii="宋体" w:hAnsi="宋体" w:cs="宋体"/>
          <w:kern w:val="0"/>
          <w:sz w:val="24"/>
          <w:szCs w:val="24"/>
          <w:lang w:val="en-US" w:eastAsia="zh-CN"/>
        </w:rPr>
        <w:t>30</w:t>
      </w:r>
      <w:r>
        <w:rPr>
          <w:rFonts w:hint="eastAsia" w:ascii="宋体" w:hAnsi="宋体" w:cs="宋体"/>
          <w:kern w:val="0"/>
          <w:sz w:val="24"/>
          <w:szCs w:val="24"/>
        </w:rPr>
        <w:t>天</w:t>
      </w:r>
      <w:r>
        <w:rPr>
          <w:rFonts w:ascii="宋体" w:hAnsi="宋体" w:cs="宋体"/>
          <w:kern w:val="0"/>
          <w:sz w:val="24"/>
          <w:szCs w:val="24"/>
        </w:rPr>
        <w:t>。</w:t>
      </w:r>
    </w:p>
    <w:p>
      <w:pPr>
        <w:widowControl/>
        <w:shd w:val="clear" w:color="auto" w:fill="FFFFFF"/>
        <w:tabs>
          <w:tab w:val="left" w:pos="6090"/>
        </w:tabs>
        <w:spacing w:line="360" w:lineRule="auto"/>
        <w:ind w:firstLine="480" w:firstLineChars="200"/>
        <w:rPr>
          <w:rFonts w:ascii="宋体" w:hAnsi="宋体" w:cs="宋体"/>
          <w:kern w:val="0"/>
          <w:sz w:val="24"/>
          <w:szCs w:val="24"/>
        </w:rPr>
      </w:pPr>
      <w:r>
        <w:rPr>
          <w:rFonts w:hint="eastAsia" w:ascii="宋体" w:hAnsi="宋体" w:cs="宋体"/>
          <w:kern w:val="0"/>
          <w:sz w:val="24"/>
          <w:szCs w:val="24"/>
        </w:rPr>
        <w:t>4、质量目标：</w:t>
      </w:r>
      <w:r>
        <w:rPr>
          <w:rFonts w:hint="eastAsia" w:ascii="宋体" w:hAnsi="宋体" w:cs="宋体"/>
          <w:kern w:val="0"/>
          <w:sz w:val="24"/>
          <w:szCs w:val="24"/>
          <w:lang w:val="en-US" w:eastAsia="zh-CN"/>
        </w:rPr>
        <w:t>合格</w:t>
      </w:r>
      <w:r>
        <w:rPr>
          <w:rFonts w:hint="eastAsia" w:ascii="宋体" w:hAnsi="宋体" w:cs="宋体"/>
          <w:kern w:val="0"/>
          <w:sz w:val="24"/>
          <w:szCs w:val="24"/>
        </w:rPr>
        <w:t>。</w:t>
      </w:r>
    </w:p>
    <w:p>
      <w:pPr>
        <w:widowControl/>
        <w:shd w:val="clear" w:color="auto" w:fill="FFFFFF"/>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5、付款方式：本项目无预付款，勘察工作外业结束，提交满足设计正式的勘察成果资料15天内，甲方向乙方支付至勘察费用的80％，项目勘察报告后付清余款。</w:t>
      </w:r>
    </w:p>
    <w:p>
      <w:pPr>
        <w:widowControl/>
        <w:shd w:val="clear" w:color="auto" w:fill="FFFFFF"/>
        <w:spacing w:line="360" w:lineRule="auto"/>
        <w:ind w:firstLine="480" w:firstLineChars="200"/>
        <w:rPr>
          <w:rFonts w:ascii="宋体" w:hAnsi="宋体" w:cs="宋体"/>
          <w:kern w:val="0"/>
          <w:sz w:val="24"/>
          <w:szCs w:val="24"/>
        </w:rPr>
      </w:pPr>
      <w:r>
        <w:rPr>
          <w:rFonts w:hint="eastAsia" w:ascii="宋体" w:hAnsi="宋体" w:cs="宋体"/>
          <w:kern w:val="0"/>
          <w:sz w:val="24"/>
          <w:szCs w:val="24"/>
          <w:lang w:val="en-US" w:eastAsia="zh-CN"/>
        </w:rPr>
        <w:t>四</w:t>
      </w:r>
      <w:r>
        <w:rPr>
          <w:rFonts w:hint="eastAsia" w:ascii="宋体" w:hAnsi="宋体" w:cs="宋体"/>
          <w:kern w:val="0"/>
          <w:sz w:val="24"/>
          <w:szCs w:val="24"/>
        </w:rPr>
        <w:t>、投标人资格要求：</w:t>
      </w:r>
    </w:p>
    <w:p>
      <w:pPr>
        <w:widowControl/>
        <w:shd w:val="clear" w:color="auto" w:fill="FFFFFF"/>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 xml:space="preserve">1、在中国境内注册并取得营业执照，具有独立法人资格，提供有效营业执照； </w:t>
      </w:r>
    </w:p>
    <w:p>
      <w:pPr>
        <w:widowControl/>
        <w:shd w:val="clear" w:color="auto" w:fill="FFFFFF"/>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2、投标人必须具备建设行政主管部门核发的工程勘察综合甲级资质或工程勘察专业甲级资质（需含岩土工程专业资质），具备有效的安全生产许可证 ；</w:t>
      </w:r>
    </w:p>
    <w:p>
      <w:pPr>
        <w:widowControl/>
        <w:shd w:val="clear" w:color="auto" w:fill="FFFFFF"/>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3、投标人拟派项目经理须具备注册土木工程师（岩土）执业资格，具备有效的安全生产考核合格证书（B证），且未担任其它在建工程的项目经理（提供承诺函），须提供在本单位近三个月人员社保证明）；</w:t>
      </w:r>
    </w:p>
    <w:p>
      <w:pPr>
        <w:widowControl/>
        <w:shd w:val="clear" w:color="auto" w:fill="FFFFFF"/>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4、投标人近三年（2019年1月至投标截止日）承担过</w:t>
      </w:r>
      <w:r>
        <w:rPr>
          <w:rFonts w:hint="eastAsia" w:ascii="宋体" w:hAnsi="宋体" w:cs="宋体"/>
          <w:kern w:val="0"/>
          <w:sz w:val="24"/>
          <w:szCs w:val="24"/>
          <w:highlight w:val="yellow"/>
          <w:lang w:val="en-US" w:eastAsia="zh-CN"/>
        </w:rPr>
        <w:t>50</w:t>
      </w:r>
      <w:r>
        <w:rPr>
          <w:rFonts w:hint="eastAsia" w:ascii="宋体" w:hAnsi="宋体" w:cs="宋体"/>
          <w:kern w:val="0"/>
          <w:sz w:val="24"/>
          <w:szCs w:val="24"/>
          <w:highlight w:val="yellow"/>
        </w:rPr>
        <w:t>万元及以上的工程勘察相关业绩</w:t>
      </w:r>
      <w:r>
        <w:rPr>
          <w:rFonts w:hint="eastAsia" w:ascii="宋体" w:hAnsi="宋体" w:cs="宋体"/>
          <w:kern w:val="0"/>
          <w:sz w:val="24"/>
          <w:szCs w:val="24"/>
        </w:rPr>
        <w:t>。提供中标通知书或合同证明文件，类似业绩以有效证明文件的落款时间为准；</w:t>
      </w:r>
    </w:p>
    <w:p>
      <w:pPr>
        <w:widowControl/>
        <w:shd w:val="clear" w:color="auto" w:fill="FFFFFF"/>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5、根据《关于在招标投标活动中对失信被执行人实施联合惩戒的通知》([2016]285号)规定，投标人须通过“信用中国”对本企业进行信用查询，若在“失信惩戒对象”名单中的，其投标无效，查询结果以开标当天在“信用中国”网站查询结果为准；</w:t>
      </w:r>
    </w:p>
    <w:p>
      <w:pPr>
        <w:widowControl/>
        <w:shd w:val="clear" w:color="auto" w:fill="FFFFFF"/>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6、投标人近三年内企业无涉及重大资产的不良诉讼，履约情况良好，近三年无重大违法情况（提供没有重大违法记录的书面声明），且目前未处于投标资格被取消状态；</w:t>
      </w:r>
    </w:p>
    <w:p>
      <w:pPr>
        <w:widowControl/>
        <w:shd w:val="clear" w:color="auto" w:fill="FFFFFF"/>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7、本项目不接受联合体投标</w:t>
      </w:r>
    </w:p>
    <w:p>
      <w:pPr>
        <w:widowControl/>
        <w:shd w:val="clear" w:color="auto" w:fill="FFFFFF"/>
        <w:spacing w:line="360" w:lineRule="auto"/>
        <w:ind w:firstLine="480" w:firstLineChars="200"/>
        <w:rPr>
          <w:rFonts w:ascii="宋体" w:hAnsi="宋体" w:cs="宋体"/>
          <w:kern w:val="0"/>
          <w:sz w:val="24"/>
          <w:szCs w:val="24"/>
        </w:rPr>
      </w:pPr>
      <w:r>
        <w:rPr>
          <w:rFonts w:hint="eastAsia" w:ascii="宋体" w:hAnsi="宋体" w:cs="宋体"/>
          <w:kern w:val="0"/>
          <w:sz w:val="24"/>
          <w:szCs w:val="24"/>
          <w:lang w:val="en-US" w:eastAsia="zh-CN"/>
        </w:rPr>
        <w:t>五</w:t>
      </w:r>
      <w:r>
        <w:rPr>
          <w:rFonts w:hint="eastAsia" w:ascii="宋体" w:hAnsi="宋体" w:cs="宋体"/>
          <w:kern w:val="0"/>
          <w:sz w:val="24"/>
          <w:szCs w:val="24"/>
        </w:rPr>
        <w:t>、报名方式</w:t>
      </w:r>
    </w:p>
    <w:p>
      <w:pPr>
        <w:widowControl/>
        <w:shd w:val="clear" w:color="auto" w:fill="FFFFFF"/>
        <w:spacing w:line="360" w:lineRule="auto"/>
        <w:ind w:firstLine="480" w:firstLineChars="200"/>
        <w:rPr>
          <w:rFonts w:hint="default" w:ascii="宋体" w:hAnsi="宋体" w:cs="宋体" w:eastAsiaTheme="minorEastAsia"/>
          <w:kern w:val="0"/>
          <w:sz w:val="24"/>
          <w:szCs w:val="24"/>
          <w:lang w:val="en-US" w:eastAsia="zh-CN"/>
        </w:rPr>
      </w:pPr>
      <w:r>
        <w:rPr>
          <w:rFonts w:ascii="宋体" w:hAnsi="宋体" w:cs="宋体"/>
          <w:kern w:val="0"/>
          <w:sz w:val="24"/>
          <w:szCs w:val="24"/>
        </w:rPr>
        <w:t>1、</w:t>
      </w:r>
      <w:r>
        <w:rPr>
          <w:rFonts w:hint="eastAsia" w:ascii="宋体" w:hAnsi="宋体" w:cs="宋体"/>
          <w:kern w:val="0"/>
          <w:sz w:val="24"/>
          <w:szCs w:val="24"/>
        </w:rPr>
        <w:t>报名</w:t>
      </w:r>
      <w:r>
        <w:rPr>
          <w:rFonts w:ascii="宋体" w:hAnsi="宋体" w:cs="宋体"/>
          <w:kern w:val="0"/>
          <w:sz w:val="24"/>
          <w:szCs w:val="24"/>
        </w:rPr>
        <w:t>方式：</w:t>
      </w:r>
      <w:r>
        <w:rPr>
          <w:rFonts w:hint="eastAsia" w:ascii="宋体" w:hAnsi="宋体" w:cs="宋体"/>
          <w:kern w:val="0"/>
          <w:sz w:val="24"/>
          <w:szCs w:val="24"/>
        </w:rPr>
        <w:t>各遴选申请人于2022年</w:t>
      </w:r>
      <w:r>
        <w:rPr>
          <w:rFonts w:hint="eastAsia" w:ascii="宋体" w:hAnsi="宋体" w:cs="宋体"/>
          <w:kern w:val="0"/>
          <w:sz w:val="24"/>
          <w:szCs w:val="24"/>
          <w:lang w:val="en-US" w:eastAsia="zh-CN"/>
        </w:rPr>
        <w:t>6</w:t>
      </w:r>
      <w:r>
        <w:rPr>
          <w:rFonts w:hint="eastAsia" w:ascii="宋体" w:hAnsi="宋体" w:cs="宋体"/>
          <w:kern w:val="0"/>
          <w:sz w:val="24"/>
          <w:szCs w:val="24"/>
        </w:rPr>
        <w:t>月</w:t>
      </w:r>
      <w:r>
        <w:rPr>
          <w:rFonts w:hint="eastAsia" w:ascii="宋体" w:hAnsi="宋体" w:cs="宋体"/>
          <w:kern w:val="0"/>
          <w:sz w:val="24"/>
          <w:szCs w:val="24"/>
          <w:lang w:val="en-US" w:eastAsia="zh-CN"/>
        </w:rPr>
        <w:t>23</w:t>
      </w:r>
      <w:r>
        <w:rPr>
          <w:rFonts w:hint="eastAsia" w:ascii="宋体" w:hAnsi="宋体" w:cs="宋体"/>
          <w:kern w:val="0"/>
          <w:sz w:val="24"/>
          <w:szCs w:val="24"/>
        </w:rPr>
        <w:t>日16点前</w:t>
      </w:r>
      <w:r>
        <w:rPr>
          <w:rFonts w:ascii="宋体" w:hAnsi="宋体" w:cs="宋体"/>
          <w:kern w:val="0"/>
          <w:sz w:val="24"/>
          <w:szCs w:val="24"/>
        </w:rPr>
        <w:t>通过</w:t>
      </w:r>
      <w:r>
        <w:rPr>
          <w:rFonts w:hint="eastAsia" w:ascii="宋体" w:hAnsi="宋体" w:cs="宋体"/>
          <w:kern w:val="0"/>
          <w:sz w:val="24"/>
          <w:szCs w:val="24"/>
        </w:rPr>
        <w:t>城发集团官网</w:t>
      </w:r>
      <w:r>
        <w:rPr>
          <w:rFonts w:ascii="宋体" w:hAnsi="宋体" w:cs="宋体"/>
          <w:kern w:val="0"/>
          <w:sz w:val="24"/>
          <w:szCs w:val="24"/>
        </w:rPr>
        <w:t>公告附件下载</w:t>
      </w:r>
      <w:r>
        <w:rPr>
          <w:rFonts w:hint="eastAsia" w:ascii="宋体" w:hAnsi="宋体" w:cs="宋体"/>
          <w:kern w:val="0"/>
          <w:sz w:val="24"/>
          <w:szCs w:val="24"/>
        </w:rPr>
        <w:t>报名表并递交300元投标报名费，</w:t>
      </w:r>
      <w:r>
        <w:rPr>
          <w:sz w:val="24"/>
          <w:szCs w:val="28"/>
        </w:rPr>
        <w:fldChar w:fldCharType="begin"/>
      </w:r>
      <w:r>
        <w:rPr>
          <w:sz w:val="24"/>
          <w:szCs w:val="28"/>
        </w:rPr>
        <w:instrText xml:space="preserve"> HYPERLINK "mailto:填写报名表连同报名费交纳凭证发送至13700253@qq.com" </w:instrText>
      </w:r>
      <w:r>
        <w:rPr>
          <w:sz w:val="24"/>
          <w:szCs w:val="28"/>
        </w:rPr>
        <w:fldChar w:fldCharType="separate"/>
      </w:r>
      <w:r>
        <w:rPr>
          <w:rStyle w:val="20"/>
          <w:rFonts w:hint="eastAsia" w:ascii="宋体" w:hAnsi="宋体" w:cs="宋体"/>
          <w:kern w:val="0"/>
          <w:sz w:val="24"/>
          <w:szCs w:val="24"/>
        </w:rPr>
        <w:t>填写报名表连同报名费交纳凭证发送至</w:t>
      </w:r>
      <w:r>
        <w:rPr>
          <w:rStyle w:val="20"/>
          <w:rFonts w:hint="eastAsia" w:ascii="宋体" w:hAnsi="宋体" w:cs="宋体"/>
          <w:kern w:val="0"/>
          <w:sz w:val="24"/>
          <w:szCs w:val="24"/>
          <w:lang w:val="en-US" w:eastAsia="zh-CN"/>
        </w:rPr>
        <w:t>870436423</w:t>
      </w:r>
      <w:r>
        <w:rPr>
          <w:rStyle w:val="20"/>
          <w:rFonts w:hint="eastAsia" w:ascii="宋体" w:hAnsi="宋体" w:cs="宋体"/>
          <w:kern w:val="0"/>
          <w:sz w:val="24"/>
          <w:szCs w:val="24"/>
        </w:rPr>
        <w:t>@qq.com</w:t>
      </w:r>
      <w:r>
        <w:rPr>
          <w:rStyle w:val="20"/>
          <w:rFonts w:hint="eastAsia" w:ascii="宋体" w:hAnsi="宋体" w:cs="宋体"/>
          <w:kern w:val="0"/>
          <w:sz w:val="24"/>
          <w:szCs w:val="24"/>
        </w:rPr>
        <w:fldChar w:fldCharType="end"/>
      </w:r>
      <w:r>
        <w:rPr>
          <w:rFonts w:ascii="宋体" w:hAnsi="宋体" w:cs="宋体"/>
          <w:kern w:val="0"/>
          <w:sz w:val="24"/>
          <w:szCs w:val="24"/>
        </w:rPr>
        <w:t>。</w:t>
      </w:r>
      <w:r>
        <w:rPr>
          <w:rFonts w:hint="eastAsia" w:ascii="宋体" w:hAnsi="宋体" w:cs="宋体"/>
          <w:kern w:val="0"/>
          <w:sz w:val="24"/>
          <w:szCs w:val="24"/>
          <w:lang w:val="en-US" w:eastAsia="zh-CN"/>
        </w:rPr>
        <w:t>未按要求递交的报名表及报名费的视为无效投标。</w:t>
      </w:r>
    </w:p>
    <w:p>
      <w:pPr>
        <w:widowControl/>
        <w:shd w:val="clear" w:color="auto" w:fill="FFFFFF"/>
        <w:spacing w:line="360" w:lineRule="auto"/>
        <w:ind w:firstLine="480" w:firstLineChars="200"/>
        <w:rPr>
          <w:rFonts w:ascii="宋体" w:hAnsi="宋体" w:cs="宋体"/>
          <w:kern w:val="0"/>
          <w:sz w:val="24"/>
          <w:szCs w:val="24"/>
        </w:rPr>
      </w:pPr>
      <w:r>
        <w:rPr>
          <w:rFonts w:hint="eastAsia" w:ascii="宋体" w:hAnsi="宋体" w:cs="宋体"/>
          <w:kern w:val="0"/>
          <w:sz w:val="24"/>
          <w:szCs w:val="24"/>
        </w:rPr>
        <w:t>户名：黄石城发工程咨询有限公司</w:t>
      </w:r>
    </w:p>
    <w:p>
      <w:pPr>
        <w:widowControl/>
        <w:shd w:val="clear" w:color="auto" w:fill="FFFFFF"/>
        <w:spacing w:line="360" w:lineRule="auto"/>
        <w:ind w:firstLine="480" w:firstLineChars="200"/>
        <w:rPr>
          <w:rFonts w:ascii="宋体" w:hAnsi="宋体" w:cs="宋体"/>
          <w:kern w:val="0"/>
          <w:sz w:val="24"/>
          <w:szCs w:val="24"/>
        </w:rPr>
      </w:pPr>
      <w:r>
        <w:rPr>
          <w:rFonts w:hint="eastAsia" w:ascii="宋体" w:hAnsi="宋体" w:cs="宋体"/>
          <w:kern w:val="0"/>
          <w:sz w:val="24"/>
          <w:szCs w:val="24"/>
        </w:rPr>
        <w:t>帐号：714903123910101</w:t>
      </w:r>
    </w:p>
    <w:p>
      <w:pPr>
        <w:widowControl/>
        <w:shd w:val="clear" w:color="auto" w:fill="FFFFFF"/>
        <w:spacing w:line="360" w:lineRule="auto"/>
        <w:ind w:firstLine="480" w:firstLineChars="200"/>
        <w:rPr>
          <w:rFonts w:ascii="宋体" w:hAnsi="宋体" w:cs="宋体"/>
          <w:kern w:val="0"/>
          <w:sz w:val="24"/>
          <w:szCs w:val="24"/>
        </w:rPr>
      </w:pPr>
      <w:r>
        <w:rPr>
          <w:rFonts w:hint="eastAsia" w:ascii="宋体" w:hAnsi="宋体" w:cs="宋体"/>
          <w:kern w:val="0"/>
          <w:sz w:val="24"/>
          <w:szCs w:val="24"/>
        </w:rPr>
        <w:t>开户行：招商银行股份有限公司黄石分行营业部</w:t>
      </w:r>
    </w:p>
    <w:p>
      <w:pPr>
        <w:widowControl/>
        <w:shd w:val="clear" w:color="auto" w:fill="FFFFFF"/>
        <w:spacing w:line="360" w:lineRule="auto"/>
        <w:ind w:firstLine="480" w:firstLineChars="200"/>
        <w:rPr>
          <w:rFonts w:ascii="宋体" w:hAnsi="宋体" w:cs="宋体"/>
          <w:kern w:val="0"/>
          <w:sz w:val="24"/>
          <w:szCs w:val="24"/>
        </w:rPr>
      </w:pPr>
      <w:r>
        <w:rPr>
          <w:rFonts w:hint="eastAsia" w:ascii="宋体" w:hAnsi="宋体" w:cs="宋体"/>
          <w:sz w:val="24"/>
          <w:szCs w:val="24"/>
        </w:rPr>
        <w:t>本项目招标代理费参照（计价格【2002】1980号）文标准的50%计取，由中标人领取中标通知书时一次性向代理机构交纳。</w:t>
      </w:r>
    </w:p>
    <w:p>
      <w:pPr>
        <w:widowControl/>
        <w:shd w:val="clear" w:color="auto" w:fill="FFFFFF"/>
        <w:spacing w:line="360" w:lineRule="auto"/>
        <w:ind w:firstLine="480" w:firstLineChars="200"/>
        <w:rPr>
          <w:rFonts w:ascii="宋体" w:hAnsi="宋体" w:cs="宋体"/>
          <w:kern w:val="0"/>
          <w:sz w:val="24"/>
          <w:szCs w:val="24"/>
        </w:rPr>
      </w:pPr>
      <w:r>
        <w:rPr>
          <w:rFonts w:ascii="宋体" w:hAnsi="宋体" w:cs="宋体"/>
          <w:kern w:val="0"/>
          <w:sz w:val="24"/>
          <w:szCs w:val="24"/>
        </w:rPr>
        <w:t>2、若招标时间、地点以及招标项目其它相关内容发生变更，将在</w:t>
      </w:r>
      <w:r>
        <w:rPr>
          <w:rFonts w:hint="eastAsia" w:ascii="宋体" w:hAnsi="宋体" w:cs="宋体"/>
          <w:kern w:val="0"/>
          <w:sz w:val="24"/>
          <w:szCs w:val="24"/>
        </w:rPr>
        <w:t>城发集团官网</w:t>
      </w:r>
      <w:r>
        <w:rPr>
          <w:rFonts w:ascii="宋体" w:hAnsi="宋体" w:cs="宋体"/>
          <w:kern w:val="0"/>
          <w:sz w:val="24"/>
          <w:szCs w:val="24"/>
        </w:rPr>
        <w:t xml:space="preserve">发布变更公告，请各投标人随时关注相关信息。 </w:t>
      </w:r>
    </w:p>
    <w:p>
      <w:pPr>
        <w:spacing w:line="360" w:lineRule="auto"/>
        <w:ind w:firstLine="482" w:firstLineChars="200"/>
        <w:rPr>
          <w:rFonts w:ascii="宋体" w:hAnsi="宋体" w:cs="宋体"/>
          <w:sz w:val="24"/>
          <w:szCs w:val="24"/>
        </w:rPr>
      </w:pPr>
      <w:r>
        <w:rPr>
          <w:rFonts w:hint="eastAsia" w:ascii="宋体" w:cs="宋体"/>
          <w:b/>
          <w:bCs/>
          <w:kern w:val="0"/>
          <w:sz w:val="24"/>
          <w:szCs w:val="24"/>
          <w:lang w:val="en-US" w:eastAsia="zh-CN"/>
        </w:rPr>
        <w:t>六</w:t>
      </w:r>
      <w:r>
        <w:rPr>
          <w:rFonts w:ascii="宋体" w:cs="宋体"/>
          <w:b/>
          <w:bCs/>
          <w:kern w:val="0"/>
          <w:sz w:val="24"/>
          <w:szCs w:val="24"/>
        </w:rPr>
        <w:t>、</w:t>
      </w:r>
      <w:r>
        <w:rPr>
          <w:rFonts w:hint="eastAsia" w:ascii="宋体" w:cs="宋体"/>
          <w:b/>
          <w:bCs/>
          <w:kern w:val="0"/>
          <w:sz w:val="24"/>
          <w:szCs w:val="24"/>
        </w:rPr>
        <w:t>遴选响应文件</w:t>
      </w:r>
      <w:r>
        <w:rPr>
          <w:rFonts w:ascii="宋体" w:cs="宋体"/>
          <w:b/>
          <w:bCs/>
          <w:kern w:val="0"/>
          <w:sz w:val="24"/>
          <w:szCs w:val="24"/>
        </w:rPr>
        <w:t xml:space="preserve">递交截止时间、地点： </w:t>
      </w:r>
    </w:p>
    <w:p>
      <w:pPr>
        <w:widowControl/>
        <w:shd w:val="clear" w:color="auto" w:fill="FFFFFF"/>
        <w:spacing w:line="360" w:lineRule="auto"/>
        <w:ind w:firstLine="480" w:firstLineChars="200"/>
        <w:rPr>
          <w:rFonts w:ascii="宋体" w:hAnsi="宋体" w:cs="宋体"/>
          <w:kern w:val="0"/>
          <w:sz w:val="24"/>
          <w:szCs w:val="24"/>
        </w:rPr>
      </w:pPr>
      <w:r>
        <w:rPr>
          <w:rFonts w:ascii="宋体" w:hAnsi="宋体" w:cs="宋体"/>
          <w:kern w:val="0"/>
          <w:sz w:val="24"/>
          <w:szCs w:val="24"/>
        </w:rPr>
        <w:t>1、投标文件递交截止时间（开标时间）：202</w:t>
      </w:r>
      <w:r>
        <w:rPr>
          <w:rFonts w:hint="eastAsia" w:ascii="宋体" w:hAnsi="宋体" w:cs="宋体"/>
          <w:kern w:val="0"/>
          <w:sz w:val="24"/>
          <w:szCs w:val="24"/>
        </w:rPr>
        <w:t>2</w:t>
      </w:r>
      <w:r>
        <w:rPr>
          <w:rFonts w:ascii="宋体" w:hAnsi="宋体" w:cs="宋体"/>
          <w:kern w:val="0"/>
          <w:sz w:val="24"/>
          <w:szCs w:val="24"/>
        </w:rPr>
        <w:t>年</w:t>
      </w:r>
      <w:r>
        <w:rPr>
          <w:rFonts w:hint="eastAsia" w:ascii="宋体" w:hAnsi="宋体" w:cs="宋体"/>
          <w:kern w:val="0"/>
          <w:sz w:val="24"/>
          <w:szCs w:val="24"/>
          <w:lang w:val="en-US" w:eastAsia="zh-CN"/>
        </w:rPr>
        <w:t>6</w:t>
      </w:r>
      <w:r>
        <w:rPr>
          <w:rFonts w:ascii="宋体" w:hAnsi="宋体" w:cs="宋体"/>
          <w:kern w:val="0"/>
          <w:sz w:val="24"/>
          <w:szCs w:val="24"/>
        </w:rPr>
        <w:t>月</w:t>
      </w:r>
      <w:r>
        <w:rPr>
          <w:rFonts w:hint="eastAsia" w:ascii="宋体" w:hAnsi="宋体" w:cs="宋体"/>
          <w:kern w:val="0"/>
          <w:sz w:val="24"/>
          <w:szCs w:val="24"/>
          <w:lang w:val="en-US" w:eastAsia="zh-CN"/>
        </w:rPr>
        <w:t>24</w:t>
      </w:r>
      <w:r>
        <w:rPr>
          <w:rFonts w:ascii="宋体" w:hAnsi="宋体" w:cs="宋体"/>
          <w:kern w:val="0"/>
          <w:sz w:val="24"/>
          <w:szCs w:val="24"/>
        </w:rPr>
        <w:t>日</w:t>
      </w:r>
      <w:r>
        <w:rPr>
          <w:rFonts w:hint="eastAsia" w:ascii="宋体" w:hAnsi="宋体" w:cs="宋体"/>
          <w:kern w:val="0"/>
          <w:sz w:val="24"/>
          <w:szCs w:val="24"/>
          <w:lang w:val="en-US" w:eastAsia="zh-CN"/>
        </w:rPr>
        <w:t>9</w:t>
      </w:r>
      <w:r>
        <w:rPr>
          <w:rFonts w:ascii="宋体" w:hAnsi="宋体" w:cs="宋体"/>
          <w:kern w:val="0"/>
          <w:sz w:val="24"/>
          <w:szCs w:val="24"/>
        </w:rPr>
        <w:t>时</w:t>
      </w:r>
      <w:r>
        <w:rPr>
          <w:rFonts w:hint="eastAsia" w:ascii="宋体" w:hAnsi="宋体" w:cs="宋体"/>
          <w:kern w:val="0"/>
          <w:sz w:val="24"/>
          <w:szCs w:val="24"/>
          <w:lang w:val="en-US" w:eastAsia="zh-CN"/>
        </w:rPr>
        <w:t>00</w:t>
      </w:r>
      <w:r>
        <w:rPr>
          <w:rFonts w:ascii="宋体" w:hAnsi="宋体" w:cs="宋体"/>
          <w:kern w:val="0"/>
          <w:sz w:val="24"/>
          <w:szCs w:val="24"/>
        </w:rPr>
        <w:t>分。</w:t>
      </w:r>
    </w:p>
    <w:p>
      <w:pPr>
        <w:widowControl/>
        <w:shd w:val="clear" w:color="auto" w:fill="FFFFFF"/>
        <w:spacing w:line="360" w:lineRule="auto"/>
        <w:ind w:firstLine="480" w:firstLineChars="200"/>
        <w:rPr>
          <w:rFonts w:ascii="宋体" w:hAnsi="宋体" w:cs="宋体"/>
          <w:kern w:val="0"/>
          <w:sz w:val="24"/>
          <w:szCs w:val="24"/>
        </w:rPr>
      </w:pPr>
      <w:r>
        <w:rPr>
          <w:sz w:val="24"/>
          <w:szCs w:val="28"/>
        </w:rPr>
        <w:fldChar w:fldCharType="begin"/>
      </w:r>
      <w:r>
        <w:rPr>
          <w:sz w:val="24"/>
          <w:szCs w:val="28"/>
        </w:rPr>
        <w:instrText xml:space="preserve"> HYPERLINK "https://www.baidu.com/link?url=uL3RrtTBbv5YS27LDfW7zFtaCwgC40oB2h08ZBgDe-i&amp;amp;wd&amp;amp;eqid=f29a7d930012f6ac000000065d517826" \h </w:instrText>
      </w:r>
      <w:r>
        <w:rPr>
          <w:sz w:val="24"/>
          <w:szCs w:val="28"/>
        </w:rPr>
        <w:fldChar w:fldCharType="separate"/>
      </w:r>
      <w:r>
        <w:rPr>
          <w:rFonts w:ascii="宋体" w:hAnsi="宋体" w:cs="宋体"/>
          <w:kern w:val="0"/>
          <w:sz w:val="24"/>
          <w:szCs w:val="24"/>
        </w:rPr>
        <w:t>2、开标地点：黄石市城市发展投资集团有限公司</w:t>
      </w:r>
      <w:r>
        <w:rPr>
          <w:rFonts w:ascii="宋体" w:hAnsi="宋体" w:cs="宋体"/>
          <w:kern w:val="0"/>
          <w:sz w:val="24"/>
          <w:szCs w:val="24"/>
        </w:rPr>
        <w:fldChar w:fldCharType="end"/>
      </w:r>
      <w:r>
        <w:rPr>
          <w:rFonts w:ascii="宋体" w:hAnsi="宋体" w:cs="宋体"/>
          <w:kern w:val="0"/>
          <w:sz w:val="24"/>
          <w:szCs w:val="24"/>
        </w:rPr>
        <w:t>3号楼3楼开标室</w:t>
      </w:r>
    </w:p>
    <w:p>
      <w:pPr>
        <w:widowControl/>
        <w:shd w:val="clear" w:color="auto" w:fill="FFFFFF"/>
        <w:spacing w:line="360" w:lineRule="auto"/>
        <w:ind w:firstLine="480" w:firstLineChars="200"/>
        <w:rPr>
          <w:rFonts w:ascii="宋体" w:hAnsi="宋体" w:cs="宋体"/>
          <w:kern w:val="0"/>
          <w:sz w:val="24"/>
          <w:szCs w:val="24"/>
        </w:rPr>
      </w:pPr>
      <w:r>
        <w:rPr>
          <w:rFonts w:ascii="宋体" w:hAnsi="宋体" w:cs="宋体"/>
          <w:kern w:val="0"/>
          <w:sz w:val="24"/>
          <w:szCs w:val="24"/>
        </w:rPr>
        <w:t>3、本次项目采取网上递交及网络开标的方式进行，截止时间后递交的投标文件不予接收。即</w:t>
      </w:r>
      <w:r>
        <w:rPr>
          <w:rFonts w:hint="eastAsia" w:ascii="宋体" w:hAnsi="宋体" w:cs="宋体"/>
          <w:kern w:val="0"/>
          <w:sz w:val="24"/>
          <w:szCs w:val="24"/>
        </w:rPr>
        <w:t>申请人</w:t>
      </w:r>
      <w:r>
        <w:rPr>
          <w:rFonts w:ascii="宋体" w:hAnsi="宋体" w:cs="宋体"/>
          <w:kern w:val="0"/>
          <w:sz w:val="24"/>
          <w:szCs w:val="24"/>
        </w:rPr>
        <w:t>在</w:t>
      </w:r>
      <w:r>
        <w:rPr>
          <w:rFonts w:hint="eastAsia" w:ascii="宋体" w:hAnsi="宋体" w:cs="宋体"/>
          <w:kern w:val="0"/>
          <w:sz w:val="24"/>
          <w:szCs w:val="24"/>
        </w:rPr>
        <w:t>遴选响应</w:t>
      </w:r>
      <w:r>
        <w:rPr>
          <w:rFonts w:ascii="宋体" w:hAnsi="宋体" w:cs="宋体"/>
          <w:kern w:val="0"/>
          <w:sz w:val="24"/>
          <w:szCs w:val="24"/>
        </w:rPr>
        <w:t>文件上规定的</w:t>
      </w:r>
      <w:r>
        <w:rPr>
          <w:rFonts w:hint="eastAsia" w:ascii="宋体" w:hAnsi="宋体" w:cs="宋体"/>
          <w:kern w:val="0"/>
          <w:sz w:val="24"/>
          <w:szCs w:val="24"/>
        </w:rPr>
        <w:t>递交</w:t>
      </w:r>
      <w:r>
        <w:rPr>
          <w:rFonts w:ascii="宋体" w:hAnsi="宋体" w:cs="宋体"/>
          <w:kern w:val="0"/>
          <w:sz w:val="24"/>
          <w:szCs w:val="24"/>
        </w:rPr>
        <w:t>截止时间前，将投标文件转换成PDF格式并加密上传到（</w:t>
      </w:r>
      <w:r>
        <w:rPr>
          <w:rFonts w:hint="eastAsia" w:ascii="宋体" w:hAnsi="宋体" w:cs="宋体"/>
          <w:kern w:val="0"/>
          <w:sz w:val="24"/>
          <w:szCs w:val="24"/>
          <w:lang w:val="en-US" w:eastAsia="zh-CN"/>
        </w:rPr>
        <w:t>870436423</w:t>
      </w:r>
      <w:r>
        <w:rPr>
          <w:rFonts w:hint="eastAsia" w:ascii="宋体" w:hAnsi="宋体" w:cs="宋体"/>
          <w:kern w:val="0"/>
          <w:sz w:val="24"/>
          <w:szCs w:val="24"/>
        </w:rPr>
        <w:t>@qq.com）</w:t>
      </w:r>
      <w:r>
        <w:rPr>
          <w:rFonts w:ascii="宋体" w:hAnsi="宋体" w:cs="宋体"/>
          <w:kern w:val="0"/>
          <w:sz w:val="24"/>
          <w:szCs w:val="24"/>
        </w:rPr>
        <w:t>邮箱。其中投标人递交投标文件时一定要在“邮件主题”上标注参与项目的名称+投标人名称。</w:t>
      </w:r>
    </w:p>
    <w:p>
      <w:pPr>
        <w:widowControl/>
        <w:shd w:val="clear" w:color="auto" w:fill="FFFFFF"/>
        <w:spacing w:line="360" w:lineRule="auto"/>
        <w:ind w:firstLine="480" w:firstLineChars="200"/>
        <w:rPr>
          <w:rFonts w:ascii="宋体" w:hAnsi="宋体" w:cs="宋体"/>
          <w:kern w:val="0"/>
          <w:sz w:val="24"/>
          <w:szCs w:val="24"/>
        </w:rPr>
      </w:pPr>
      <w:r>
        <w:rPr>
          <w:rFonts w:ascii="宋体" w:hAnsi="宋体" w:cs="宋体"/>
          <w:kern w:val="0"/>
          <w:sz w:val="24"/>
          <w:szCs w:val="24"/>
        </w:rPr>
        <w:t>本次开标采用网络开标，采用的会议软件为“腾讯会议”，请各投标人授权代表（即参会人员）提前用带视频功能的手机或电脑下载“腾讯会议”，并提前自行测试，防止意外出现。湖北城发设计咨询集团有限公司在投标文件递交截止时间后，将本次开标会的会议时间、会议ID及密码以邮件回传给在规定时间内递交了投标文件的投标人的投标邮箱。投标人不要使用163、1</w:t>
      </w:r>
      <w:r>
        <w:rPr>
          <w:rFonts w:hint="eastAsia" w:ascii="宋体" w:hAnsi="宋体" w:cs="宋体"/>
          <w:kern w:val="0"/>
          <w:sz w:val="24"/>
          <w:szCs w:val="24"/>
        </w:rPr>
        <w:t>26</w:t>
      </w:r>
      <w:r>
        <w:rPr>
          <w:rFonts w:ascii="宋体" w:hAnsi="宋体" w:cs="宋体"/>
          <w:kern w:val="0"/>
          <w:sz w:val="24"/>
          <w:szCs w:val="24"/>
        </w:rPr>
        <w:t>邮箱（该类型邮箱下载限速，影响开标进程），也不要将文件压缩。</w:t>
      </w:r>
    </w:p>
    <w:p>
      <w:pPr>
        <w:pStyle w:val="8"/>
        <w:spacing w:after="0" w:line="360" w:lineRule="auto"/>
        <w:ind w:firstLine="482" w:firstLineChars="200"/>
        <w:rPr>
          <w:rFonts w:cs="宋体"/>
          <w:b/>
          <w:bCs/>
          <w:w w:val="99"/>
          <w:sz w:val="24"/>
          <w:szCs w:val="24"/>
        </w:rPr>
      </w:pPr>
      <w:r>
        <w:rPr>
          <w:rFonts w:hint="eastAsia" w:cs="宋体"/>
          <w:b/>
          <w:bCs/>
          <w:sz w:val="24"/>
          <w:szCs w:val="24"/>
          <w:lang w:val="en-US" w:eastAsia="zh-CN"/>
        </w:rPr>
        <w:t>七</w:t>
      </w:r>
      <w:r>
        <w:rPr>
          <w:rFonts w:cs="宋体"/>
          <w:b/>
          <w:bCs/>
          <w:sz w:val="24"/>
          <w:szCs w:val="24"/>
        </w:rPr>
        <w:t>、发布公告的媒介</w:t>
      </w:r>
      <w:r>
        <w:rPr>
          <w:rFonts w:cs="宋体"/>
          <w:b/>
          <w:bCs/>
          <w:w w:val="99"/>
          <w:sz w:val="24"/>
          <w:szCs w:val="24"/>
        </w:rPr>
        <w:t xml:space="preserve"> </w:t>
      </w:r>
    </w:p>
    <w:p>
      <w:pPr>
        <w:pStyle w:val="8"/>
        <w:spacing w:after="0" w:line="360" w:lineRule="auto"/>
        <w:ind w:firstLine="480" w:firstLineChars="200"/>
        <w:rPr>
          <w:sz w:val="24"/>
          <w:szCs w:val="24"/>
        </w:rPr>
      </w:pPr>
      <w:r>
        <w:rPr>
          <w:sz w:val="24"/>
          <w:szCs w:val="24"/>
        </w:rPr>
        <w:t>本次</w:t>
      </w:r>
      <w:r>
        <w:rPr>
          <w:rFonts w:hint="eastAsia"/>
          <w:sz w:val="24"/>
          <w:szCs w:val="24"/>
        </w:rPr>
        <w:t>遴选</w:t>
      </w:r>
      <w:r>
        <w:rPr>
          <w:sz w:val="24"/>
          <w:szCs w:val="24"/>
        </w:rPr>
        <w:t>公告</w:t>
      </w:r>
      <w:r>
        <w:rPr>
          <w:rFonts w:hint="eastAsia"/>
          <w:sz w:val="24"/>
          <w:szCs w:val="24"/>
        </w:rPr>
        <w:t>在城发集团官网</w:t>
      </w:r>
      <w:r>
        <w:rPr>
          <w:sz w:val="24"/>
          <w:szCs w:val="24"/>
        </w:rPr>
        <w:t>公发布</w:t>
      </w:r>
    </w:p>
    <w:p>
      <w:pPr>
        <w:pStyle w:val="8"/>
        <w:spacing w:after="0" w:line="360" w:lineRule="auto"/>
        <w:ind w:firstLine="482" w:firstLineChars="200"/>
        <w:rPr>
          <w:rFonts w:cs="宋体"/>
          <w:b/>
          <w:bCs/>
          <w:sz w:val="24"/>
          <w:szCs w:val="24"/>
        </w:rPr>
      </w:pPr>
      <w:r>
        <w:rPr>
          <w:rFonts w:hint="eastAsia" w:cs="宋体"/>
          <w:b/>
          <w:bCs/>
          <w:sz w:val="24"/>
          <w:szCs w:val="24"/>
          <w:lang w:val="en-US" w:eastAsia="zh-CN"/>
        </w:rPr>
        <w:t>八</w:t>
      </w:r>
      <w:r>
        <w:rPr>
          <w:rFonts w:cs="宋体"/>
          <w:b/>
          <w:bCs/>
          <w:sz w:val="24"/>
          <w:szCs w:val="24"/>
        </w:rPr>
        <w:t xml:space="preserve">、联系方式 </w:t>
      </w:r>
    </w:p>
    <w:p>
      <w:pPr>
        <w:pStyle w:val="8"/>
        <w:spacing w:after="0" w:line="360" w:lineRule="auto"/>
        <w:ind w:firstLine="480" w:firstLineChars="200"/>
        <w:rPr>
          <w:sz w:val="24"/>
          <w:szCs w:val="24"/>
        </w:rPr>
      </w:pPr>
      <w:r>
        <w:rPr>
          <w:sz w:val="24"/>
          <w:szCs w:val="24"/>
        </w:rPr>
        <w:t>招标人：</w:t>
      </w:r>
      <w:r>
        <w:rPr>
          <w:rFonts w:hint="eastAsia" w:cs="宋体"/>
          <w:kern w:val="0"/>
          <w:sz w:val="24"/>
          <w:szCs w:val="24"/>
          <w:u w:val="single"/>
        </w:rPr>
        <w:t>黄石市城市建设投资开发有限责任公司</w:t>
      </w:r>
      <w:r>
        <w:rPr>
          <w:sz w:val="24"/>
          <w:szCs w:val="24"/>
        </w:rPr>
        <w:t xml:space="preserve"> </w:t>
      </w:r>
    </w:p>
    <w:p>
      <w:pPr>
        <w:pStyle w:val="8"/>
        <w:spacing w:after="0" w:line="360" w:lineRule="auto"/>
        <w:ind w:firstLine="480" w:firstLineChars="200"/>
        <w:rPr>
          <w:sz w:val="24"/>
          <w:szCs w:val="24"/>
        </w:rPr>
      </w:pPr>
      <w:r>
        <w:rPr>
          <w:sz w:val="24"/>
          <w:szCs w:val="24"/>
        </w:rPr>
        <w:t>联系人：</w:t>
      </w:r>
      <w:r>
        <w:rPr>
          <w:rFonts w:hint="eastAsia"/>
          <w:sz w:val="24"/>
          <w:szCs w:val="24"/>
          <w:lang w:val="en-US" w:eastAsia="zh-CN"/>
        </w:rPr>
        <w:t>卫</w:t>
      </w:r>
      <w:r>
        <w:rPr>
          <w:sz w:val="24"/>
          <w:szCs w:val="24"/>
        </w:rPr>
        <w:t>工</w:t>
      </w:r>
    </w:p>
    <w:p>
      <w:pPr>
        <w:pStyle w:val="8"/>
        <w:spacing w:after="0" w:line="360" w:lineRule="auto"/>
        <w:ind w:firstLine="480" w:firstLineChars="200"/>
        <w:rPr>
          <w:rFonts w:ascii="宋体" w:hAnsi="宋体" w:cs="宋体"/>
          <w:sz w:val="24"/>
          <w:szCs w:val="24"/>
        </w:rPr>
      </w:pPr>
      <w:r>
        <w:rPr>
          <w:sz w:val="24"/>
          <w:szCs w:val="24"/>
        </w:rPr>
        <w:t>联系电话：</w:t>
      </w:r>
      <w:r>
        <w:rPr>
          <w:rFonts w:hint="eastAsia"/>
          <w:sz w:val="24"/>
          <w:szCs w:val="24"/>
        </w:rPr>
        <w:t xml:space="preserve">0714-6267659  </w:t>
      </w:r>
    </w:p>
    <w:p>
      <w:pPr>
        <w:pStyle w:val="8"/>
        <w:spacing w:after="0" w:line="360" w:lineRule="auto"/>
        <w:ind w:firstLine="480" w:firstLineChars="200"/>
        <w:rPr>
          <w:sz w:val="24"/>
          <w:szCs w:val="24"/>
        </w:rPr>
      </w:pPr>
      <w:r>
        <w:rPr>
          <w:sz w:val="24"/>
          <w:szCs w:val="24"/>
        </w:rPr>
        <w:t>招标代理：</w:t>
      </w:r>
      <w:r>
        <w:rPr>
          <w:rFonts w:hint="eastAsia"/>
          <w:sz w:val="24"/>
          <w:szCs w:val="24"/>
        </w:rPr>
        <w:t>黄石城发工程咨询</w:t>
      </w:r>
      <w:r>
        <w:rPr>
          <w:sz w:val="24"/>
          <w:szCs w:val="24"/>
        </w:rPr>
        <w:t xml:space="preserve">有限公司 </w:t>
      </w:r>
    </w:p>
    <w:p>
      <w:pPr>
        <w:pStyle w:val="8"/>
        <w:spacing w:after="0" w:line="360" w:lineRule="auto"/>
        <w:ind w:firstLine="480" w:firstLineChars="200"/>
        <w:rPr>
          <w:sz w:val="24"/>
          <w:szCs w:val="24"/>
        </w:rPr>
      </w:pPr>
      <w:r>
        <w:rPr>
          <w:sz w:val="24"/>
          <w:szCs w:val="24"/>
        </w:rPr>
        <w:t>联系人：</w:t>
      </w:r>
      <w:r>
        <w:rPr>
          <w:rFonts w:hint="eastAsia"/>
          <w:sz w:val="24"/>
          <w:szCs w:val="24"/>
          <w:lang w:val="en-US" w:eastAsia="zh-CN"/>
        </w:rPr>
        <w:t>王</w:t>
      </w:r>
      <w:r>
        <w:rPr>
          <w:sz w:val="24"/>
          <w:szCs w:val="24"/>
        </w:rPr>
        <w:t>工</w:t>
      </w:r>
    </w:p>
    <w:p>
      <w:pPr>
        <w:pStyle w:val="8"/>
        <w:spacing w:after="0" w:line="360" w:lineRule="auto"/>
        <w:ind w:firstLine="480" w:firstLineChars="200"/>
        <w:rPr>
          <w:sz w:val="24"/>
          <w:szCs w:val="24"/>
        </w:rPr>
      </w:pPr>
      <w:r>
        <w:rPr>
          <w:sz w:val="24"/>
          <w:szCs w:val="24"/>
        </w:rPr>
        <w:t>联系电话：</w:t>
      </w:r>
      <w:r>
        <w:rPr>
          <w:rFonts w:hint="eastAsia"/>
          <w:sz w:val="24"/>
          <w:szCs w:val="24"/>
        </w:rPr>
        <w:t>0714-6380886</w:t>
      </w:r>
    </w:p>
    <w:p>
      <w:pPr>
        <w:pStyle w:val="8"/>
        <w:spacing w:after="0" w:line="360" w:lineRule="auto"/>
        <w:ind w:firstLine="480" w:firstLineChars="200"/>
        <w:rPr>
          <w:sz w:val="24"/>
          <w:szCs w:val="24"/>
        </w:rPr>
      </w:pPr>
      <w:r>
        <w:rPr>
          <w:sz w:val="24"/>
          <w:szCs w:val="24"/>
        </w:rPr>
        <w:t>地址：黄石市</w:t>
      </w:r>
      <w:r>
        <w:rPr>
          <w:rFonts w:hint="eastAsia"/>
          <w:sz w:val="24"/>
          <w:szCs w:val="24"/>
        </w:rPr>
        <w:t>下陆区磁湖路198号</w:t>
      </w:r>
      <w:r>
        <w:rPr>
          <w:sz w:val="24"/>
          <w:szCs w:val="24"/>
        </w:rPr>
        <w:t xml:space="preserve"> </w:t>
      </w:r>
    </w:p>
    <w:p>
      <w:pPr>
        <w:pStyle w:val="8"/>
        <w:spacing w:after="0" w:line="360" w:lineRule="auto"/>
        <w:ind w:firstLine="480" w:firstLineChars="200"/>
        <w:rPr>
          <w:rFonts w:cs="宋体"/>
          <w:sz w:val="24"/>
          <w:szCs w:val="24"/>
        </w:rPr>
      </w:pPr>
      <w:r>
        <w:rPr>
          <w:sz w:val="24"/>
          <w:szCs w:val="24"/>
        </w:rPr>
        <w:t>电子邮箱：</w:t>
      </w:r>
      <w:r>
        <w:rPr>
          <w:rFonts w:hint="eastAsia"/>
          <w:sz w:val="24"/>
          <w:szCs w:val="24"/>
          <w:lang w:val="en-US" w:eastAsia="zh-CN"/>
        </w:rPr>
        <w:t>870436423</w:t>
      </w:r>
      <w:r>
        <w:rPr>
          <w:rFonts w:hint="eastAsia"/>
          <w:sz w:val="24"/>
          <w:szCs w:val="24"/>
        </w:rPr>
        <w:t>@qq.com</w:t>
      </w:r>
    </w:p>
    <w:p>
      <w:pPr>
        <w:rPr>
          <w:rFonts w:ascii="宋体" w:hAnsi="宋体" w:cs="宋体"/>
          <w:sz w:val="24"/>
          <w:szCs w:val="24"/>
        </w:rPr>
      </w:pPr>
    </w:p>
    <w:p>
      <w:pPr>
        <w:rPr>
          <w:rFonts w:ascii="宋体" w:hAnsi="宋体" w:cs="宋体"/>
          <w:sz w:val="24"/>
          <w:szCs w:val="24"/>
        </w:rPr>
      </w:pPr>
    </w:p>
    <w:p>
      <w:pPr>
        <w:pStyle w:val="8"/>
        <w:spacing w:before="170"/>
        <w:ind w:right="109"/>
        <w:jc w:val="right"/>
        <w:rPr>
          <w:sz w:val="24"/>
          <w:szCs w:val="24"/>
        </w:rPr>
      </w:pPr>
      <w:r>
        <w:rPr>
          <w:rFonts w:hint="eastAsia"/>
          <w:sz w:val="24"/>
          <w:szCs w:val="24"/>
        </w:rPr>
        <w:t>黄石城发工程咨询</w:t>
      </w:r>
      <w:r>
        <w:rPr>
          <w:sz w:val="24"/>
          <w:szCs w:val="24"/>
        </w:rPr>
        <w:t>有限公司</w:t>
      </w:r>
    </w:p>
    <w:p>
      <w:pPr>
        <w:pStyle w:val="8"/>
        <w:wordWrap w:val="0"/>
        <w:spacing w:before="146"/>
        <w:ind w:right="109"/>
        <w:jc w:val="right"/>
        <w:rPr>
          <w:sz w:val="24"/>
          <w:szCs w:val="24"/>
        </w:rPr>
      </w:pPr>
      <w:r>
        <w:rPr>
          <w:sz w:val="24"/>
          <w:szCs w:val="24"/>
        </w:rPr>
        <w:t>202</w:t>
      </w:r>
      <w:r>
        <w:rPr>
          <w:rFonts w:hint="eastAsia"/>
          <w:sz w:val="24"/>
          <w:szCs w:val="24"/>
        </w:rPr>
        <w:t>2</w:t>
      </w:r>
      <w:r>
        <w:rPr>
          <w:sz w:val="24"/>
          <w:szCs w:val="24"/>
        </w:rPr>
        <w:t>年</w:t>
      </w:r>
      <w:r>
        <w:rPr>
          <w:rFonts w:hint="eastAsia"/>
          <w:sz w:val="24"/>
          <w:szCs w:val="24"/>
          <w:lang w:val="en-US" w:eastAsia="zh-CN"/>
        </w:rPr>
        <w:t>6</w:t>
      </w:r>
      <w:r>
        <w:rPr>
          <w:sz w:val="24"/>
          <w:szCs w:val="24"/>
        </w:rPr>
        <w:t>月</w:t>
      </w:r>
      <w:r>
        <w:rPr>
          <w:rFonts w:hint="eastAsia"/>
          <w:sz w:val="24"/>
          <w:szCs w:val="24"/>
          <w:lang w:val="en-US" w:eastAsia="zh-CN"/>
        </w:rPr>
        <w:t>16</w:t>
      </w:r>
      <w:r>
        <w:rPr>
          <w:sz w:val="24"/>
          <w:szCs w:val="24"/>
        </w:rPr>
        <w:t>日</w:t>
      </w:r>
    </w:p>
    <w:p>
      <w:pPr>
        <w:jc w:val="right"/>
        <w:rPr>
          <w:szCs w:val="21"/>
        </w:rPr>
      </w:pPr>
    </w:p>
    <w:p>
      <w:pPr>
        <w:jc w:val="left"/>
        <w:rPr>
          <w:szCs w:val="21"/>
        </w:rPr>
        <w:sectPr>
          <w:pgSz w:w="11910" w:h="16840"/>
          <w:pgMar w:top="1480" w:right="1420" w:bottom="1420" w:left="1360" w:header="1274" w:footer="1232" w:gutter="0"/>
          <w:cols w:space="720" w:num="1"/>
        </w:sectPr>
      </w:pPr>
      <w:r>
        <w:rPr>
          <w:rFonts w:hint="eastAsia"/>
          <w:szCs w:val="21"/>
        </w:rPr>
        <w:t>附评分办法及报名</w:t>
      </w:r>
    </w:p>
    <w:p>
      <w:pPr>
        <w:jc w:val="center"/>
        <w:rPr>
          <w:rFonts w:ascii="宋体" w:hAnsi="宋体" w:eastAsia="宋体"/>
          <w:b/>
          <w:szCs w:val="21"/>
        </w:rPr>
      </w:pPr>
      <w:r>
        <w:rPr>
          <w:rFonts w:ascii="宋体" w:hAnsi="宋体" w:eastAsia="宋体"/>
          <w:b/>
          <w:szCs w:val="21"/>
        </w:rPr>
        <w:t>报名登记表</w:t>
      </w:r>
    </w:p>
    <w:p>
      <w:pPr>
        <w:jc w:val="center"/>
        <w:rPr>
          <w:rFonts w:ascii="宋体" w:hAnsi="宋体" w:eastAsia="宋体"/>
          <w:szCs w:val="21"/>
        </w:rPr>
      </w:pPr>
    </w:p>
    <w:tbl>
      <w:tblPr>
        <w:tblStyle w:val="17"/>
        <w:tblW w:w="92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jc w:val="center"/>
              <w:rPr>
                <w:szCs w:val="21"/>
              </w:rPr>
            </w:pPr>
            <w:r>
              <w:rPr>
                <w:rFonts w:hint="eastAsia"/>
                <w:szCs w:val="21"/>
              </w:rPr>
              <w:t>项目名称</w:t>
            </w:r>
          </w:p>
        </w:tc>
        <w:tc>
          <w:tcPr>
            <w:tcW w:w="7264" w:type="dxa"/>
            <w:vAlign w:val="center"/>
          </w:tcPr>
          <w:p>
            <w:pPr>
              <w:spacing w:line="480" w:lineRule="exact"/>
              <w:ind w:firstLine="420" w:firstLineChars="200"/>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jc w:val="center"/>
              <w:rPr>
                <w:szCs w:val="21"/>
              </w:rPr>
            </w:pPr>
            <w:r>
              <w:rPr>
                <w:rFonts w:hint="eastAsia"/>
                <w:szCs w:val="21"/>
              </w:rPr>
              <w:t>报名单位</w:t>
            </w:r>
          </w:p>
        </w:tc>
        <w:tc>
          <w:tcPr>
            <w:tcW w:w="7264" w:type="dxa"/>
            <w:vAlign w:val="center"/>
          </w:tcPr>
          <w:p>
            <w:pPr>
              <w:spacing w:line="480" w:lineRule="exact"/>
              <w:ind w:firstLine="420" w:firstLineChars="200"/>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jc w:val="center"/>
              <w:rPr>
                <w:szCs w:val="21"/>
              </w:rPr>
            </w:pPr>
            <w:r>
              <w:rPr>
                <w:rFonts w:hint="eastAsia"/>
                <w:szCs w:val="21"/>
              </w:rPr>
              <w:t>报名联系人</w:t>
            </w:r>
          </w:p>
        </w:tc>
        <w:tc>
          <w:tcPr>
            <w:tcW w:w="7264" w:type="dxa"/>
            <w:vAlign w:val="center"/>
          </w:tcPr>
          <w:p>
            <w:pPr>
              <w:spacing w:before="100" w:beforeAutospacing="1" w:after="100" w:afterAutospacing="1"/>
              <w:outlineLvl w:val="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jc w:val="center"/>
              <w:rPr>
                <w:szCs w:val="21"/>
              </w:rPr>
            </w:pPr>
            <w:r>
              <w:rPr>
                <w:rFonts w:hint="eastAsia"/>
                <w:szCs w:val="21"/>
              </w:rPr>
              <w:t>报名联系人手机</w:t>
            </w:r>
          </w:p>
        </w:tc>
        <w:tc>
          <w:tcPr>
            <w:tcW w:w="7264" w:type="dxa"/>
            <w:vAlign w:val="center"/>
          </w:tcPr>
          <w:p>
            <w:pPr>
              <w:spacing w:before="100" w:beforeAutospacing="1" w:after="100" w:afterAutospacing="1"/>
              <w:jc w:val="center"/>
              <w:outlineLvl w:val="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jc w:val="center"/>
              <w:rPr>
                <w:szCs w:val="21"/>
              </w:rPr>
            </w:pPr>
            <w:r>
              <w:rPr>
                <w:rFonts w:hint="eastAsia"/>
                <w:szCs w:val="21"/>
              </w:rPr>
              <w:t>报名联系人座机</w:t>
            </w:r>
          </w:p>
        </w:tc>
        <w:tc>
          <w:tcPr>
            <w:tcW w:w="7264" w:type="dxa"/>
            <w:vAlign w:val="center"/>
          </w:tcPr>
          <w:p>
            <w:pPr>
              <w:spacing w:before="100" w:beforeAutospacing="1" w:after="100" w:afterAutospacing="1"/>
              <w:jc w:val="center"/>
              <w:outlineLvl w:val="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spacing w:line="360" w:lineRule="auto"/>
              <w:jc w:val="center"/>
              <w:rPr>
                <w:szCs w:val="21"/>
              </w:rPr>
            </w:pPr>
            <w:r>
              <w:rPr>
                <w:rFonts w:hint="eastAsia"/>
                <w:szCs w:val="21"/>
              </w:rPr>
              <w:t>报名联系人</w:t>
            </w:r>
          </w:p>
          <w:p>
            <w:pPr>
              <w:spacing w:line="360" w:lineRule="auto"/>
              <w:jc w:val="center"/>
              <w:rPr>
                <w:szCs w:val="21"/>
              </w:rPr>
            </w:pPr>
            <w:r>
              <w:rPr>
                <w:rFonts w:hint="eastAsia"/>
                <w:szCs w:val="21"/>
              </w:rPr>
              <w:t>电子邮箱</w:t>
            </w:r>
          </w:p>
        </w:tc>
        <w:tc>
          <w:tcPr>
            <w:tcW w:w="7264" w:type="dxa"/>
            <w:vAlign w:val="center"/>
          </w:tcPr>
          <w:p>
            <w:pPr>
              <w:spacing w:before="100" w:beforeAutospacing="1" w:after="100" w:afterAutospacing="1"/>
              <w:jc w:val="center"/>
              <w:outlineLvl w:val="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4" w:hRule="atLeast"/>
          <w:jc w:val="center"/>
        </w:trPr>
        <w:tc>
          <w:tcPr>
            <w:tcW w:w="1987" w:type="dxa"/>
            <w:vAlign w:val="center"/>
          </w:tcPr>
          <w:p>
            <w:pPr>
              <w:spacing w:after="240"/>
              <w:jc w:val="center"/>
              <w:rPr>
                <w:szCs w:val="21"/>
              </w:rPr>
            </w:pPr>
            <w:r>
              <w:rPr>
                <w:rFonts w:hint="eastAsia"/>
                <w:szCs w:val="21"/>
              </w:rPr>
              <w:t>投标单位登记须知</w:t>
            </w:r>
          </w:p>
        </w:tc>
        <w:tc>
          <w:tcPr>
            <w:tcW w:w="7264" w:type="dxa"/>
            <w:vAlign w:val="center"/>
          </w:tcPr>
          <w:p>
            <w:pPr>
              <w:spacing w:line="360" w:lineRule="auto"/>
              <w:ind w:firstLine="480" w:firstLineChars="200"/>
              <w:rPr>
                <w:rFonts w:ascii="宋体" w:hAnsi="宋体" w:cs="Calibri"/>
                <w:kern w:val="0"/>
                <w:sz w:val="24"/>
              </w:rPr>
            </w:pPr>
            <w:r>
              <w:rPr>
                <w:rFonts w:hint="eastAsia" w:ascii="宋体" w:hAnsi="宋体" w:cs="宋体"/>
                <w:color w:val="333333"/>
                <w:kern w:val="0"/>
                <w:sz w:val="24"/>
                <w:szCs w:val="24"/>
              </w:rPr>
              <w:t>1、请投标人如实填写《报名登记表》在报名截止前发送至</w:t>
            </w:r>
            <w:r>
              <w:rPr>
                <w:rFonts w:hint="eastAsia" w:ascii="宋体" w:hAnsi="宋体" w:cs="宋体"/>
                <w:color w:val="333333"/>
                <w:kern w:val="0"/>
                <w:sz w:val="24"/>
                <w:szCs w:val="24"/>
                <w:lang w:val="en-US" w:eastAsia="zh-CN"/>
              </w:rPr>
              <w:t>870436423</w:t>
            </w:r>
            <w:r>
              <w:rPr>
                <w:rFonts w:hint="eastAsia" w:ascii="宋体" w:hAnsi="宋体" w:cs="宋体"/>
                <w:color w:val="333333"/>
                <w:kern w:val="0"/>
                <w:sz w:val="24"/>
                <w:szCs w:val="24"/>
              </w:rPr>
              <w:t>@qq.com，并递交300元投标报名费。</w:t>
            </w:r>
          </w:p>
          <w:p>
            <w:pPr>
              <w:spacing w:line="400" w:lineRule="exact"/>
              <w:ind w:firstLine="480" w:firstLineChars="200"/>
              <w:rPr>
                <w:rFonts w:ascii="宋体" w:hAnsi="宋体" w:cs="宋体"/>
                <w:color w:val="333333"/>
                <w:kern w:val="0"/>
                <w:sz w:val="24"/>
                <w:szCs w:val="24"/>
              </w:rPr>
            </w:pPr>
            <w:r>
              <w:rPr>
                <w:rFonts w:hint="eastAsia" w:ascii="宋体" w:hAnsi="宋体" w:cs="宋体"/>
                <w:color w:val="333333"/>
                <w:kern w:val="0"/>
                <w:sz w:val="24"/>
                <w:szCs w:val="24"/>
              </w:rPr>
              <w:t>2、代理公司账户：</w:t>
            </w:r>
          </w:p>
          <w:p>
            <w:pPr>
              <w:spacing w:line="360" w:lineRule="auto"/>
              <w:ind w:firstLine="422" w:firstLineChars="175"/>
              <w:rPr>
                <w:rFonts w:ascii="宋体" w:hAnsi="宋体" w:cs="宋体"/>
                <w:b/>
                <w:bCs/>
                <w:sz w:val="24"/>
                <w:szCs w:val="24"/>
              </w:rPr>
            </w:pPr>
            <w:r>
              <w:rPr>
                <w:rFonts w:hint="eastAsia" w:ascii="宋体" w:hAnsi="宋体" w:cs="宋体"/>
                <w:b/>
                <w:bCs/>
                <w:sz w:val="24"/>
                <w:szCs w:val="24"/>
              </w:rPr>
              <w:t>户名：黄石城发工程咨询有限公司</w:t>
            </w:r>
          </w:p>
          <w:p>
            <w:pPr>
              <w:spacing w:line="360" w:lineRule="auto"/>
              <w:ind w:firstLine="422" w:firstLineChars="175"/>
              <w:rPr>
                <w:rFonts w:ascii="宋体" w:hAnsi="宋体" w:cs="宋体"/>
                <w:b/>
                <w:bCs/>
                <w:sz w:val="24"/>
                <w:szCs w:val="24"/>
              </w:rPr>
            </w:pPr>
            <w:r>
              <w:rPr>
                <w:rFonts w:hint="eastAsia" w:ascii="宋体" w:hAnsi="宋体" w:cs="宋体"/>
                <w:b/>
                <w:bCs/>
                <w:sz w:val="24"/>
                <w:szCs w:val="24"/>
              </w:rPr>
              <w:t>帐号：714903123910101</w:t>
            </w:r>
          </w:p>
          <w:p>
            <w:pPr>
              <w:spacing w:line="360" w:lineRule="auto"/>
              <w:ind w:firstLine="422" w:firstLineChars="175"/>
              <w:rPr>
                <w:rFonts w:ascii="宋体" w:hAnsi="宋体" w:cs="宋体"/>
                <w:b/>
                <w:bCs/>
                <w:sz w:val="24"/>
                <w:szCs w:val="24"/>
              </w:rPr>
            </w:pPr>
            <w:r>
              <w:rPr>
                <w:rFonts w:hint="eastAsia" w:ascii="宋体" w:hAnsi="宋体" w:cs="宋体"/>
                <w:b/>
                <w:bCs/>
                <w:sz w:val="24"/>
                <w:szCs w:val="24"/>
              </w:rPr>
              <w:t>开户行：招商银行股份有限公司黄石分行营业部</w:t>
            </w:r>
          </w:p>
          <w:p>
            <w:pPr>
              <w:spacing w:after="240" w:line="440" w:lineRule="exact"/>
              <w:rPr>
                <w:szCs w:val="21"/>
              </w:rPr>
            </w:pPr>
          </w:p>
        </w:tc>
      </w:tr>
    </w:tbl>
    <w:p>
      <w:pPr>
        <w:rPr>
          <w:rFonts w:hint="eastAsia" w:asciiTheme="minorEastAsia" w:hAnsiTheme="minorEastAsia"/>
          <w:b/>
          <w:szCs w:val="21"/>
        </w:rPr>
      </w:pPr>
    </w:p>
    <w:p>
      <w:pPr>
        <w:rPr>
          <w:rFonts w:hint="eastAsia" w:asciiTheme="minorEastAsia" w:hAnsiTheme="minorEastAsia"/>
          <w:b/>
          <w:szCs w:val="21"/>
        </w:rPr>
      </w:pPr>
      <w:r>
        <w:rPr>
          <w:rFonts w:hint="eastAsia" w:asciiTheme="minorEastAsia" w:hAnsiTheme="minorEastAsia"/>
          <w:b/>
          <w:szCs w:val="21"/>
        </w:rPr>
        <w:br w:type="page"/>
      </w:r>
    </w:p>
    <w:p>
      <w:pPr>
        <w:spacing w:line="360" w:lineRule="auto"/>
        <w:jc w:val="left"/>
        <w:rPr>
          <w:rFonts w:asciiTheme="minorEastAsia" w:hAnsiTheme="minorEastAsia"/>
          <w:b/>
          <w:szCs w:val="21"/>
        </w:rPr>
      </w:pPr>
      <w:r>
        <w:rPr>
          <w:rFonts w:hint="eastAsia" w:asciiTheme="minorEastAsia" w:hAnsiTheme="minorEastAsia"/>
          <w:b/>
          <w:szCs w:val="21"/>
        </w:rPr>
        <w:t>遴选方法及评分标准：</w:t>
      </w:r>
    </w:p>
    <w:p>
      <w:pPr>
        <w:spacing w:line="360" w:lineRule="auto"/>
        <w:ind w:firstLine="420" w:firstLineChars="200"/>
        <w:jc w:val="left"/>
        <w:rPr>
          <w:rFonts w:asciiTheme="minorEastAsia" w:hAnsiTheme="minorEastAsia"/>
          <w:szCs w:val="21"/>
        </w:rPr>
      </w:pPr>
      <w:r>
        <w:rPr>
          <w:rFonts w:hint="eastAsia" w:asciiTheme="minorEastAsia" w:hAnsiTheme="minorEastAsia"/>
          <w:szCs w:val="21"/>
        </w:rPr>
        <w:t>一、本次公开遴选采用综合评分法</w:t>
      </w:r>
    </w:p>
    <w:tbl>
      <w:tblPr>
        <w:tblStyle w:val="16"/>
        <w:tblW w:w="9225" w:type="dxa"/>
        <w:jc w:val="center"/>
        <w:tblLayout w:type="fixed"/>
        <w:tblCellMar>
          <w:top w:w="0" w:type="dxa"/>
          <w:left w:w="0" w:type="dxa"/>
          <w:bottom w:w="0" w:type="dxa"/>
          <w:right w:w="0" w:type="dxa"/>
        </w:tblCellMar>
      </w:tblPr>
      <w:tblGrid>
        <w:gridCol w:w="916"/>
        <w:gridCol w:w="1560"/>
        <w:gridCol w:w="6749"/>
      </w:tblGrid>
      <w:tr>
        <w:tblPrEx>
          <w:tblCellMar>
            <w:top w:w="0" w:type="dxa"/>
            <w:left w:w="0" w:type="dxa"/>
            <w:bottom w:w="0" w:type="dxa"/>
            <w:right w:w="0" w:type="dxa"/>
          </w:tblCellMar>
        </w:tblPrEx>
        <w:trPr>
          <w:trHeight w:val="510" w:hRule="atLeast"/>
          <w:jc w:val="center"/>
        </w:trPr>
        <w:tc>
          <w:tcPr>
            <w:tcW w:w="9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r>
              <w:rPr>
                <w:rFonts w:hint="eastAsia" w:asciiTheme="minorEastAsia" w:hAnsiTheme="minorEastAsia"/>
                <w:b/>
                <w:szCs w:val="21"/>
              </w:rPr>
              <w:t>序号</w:t>
            </w:r>
          </w:p>
        </w:tc>
        <w:tc>
          <w:tcPr>
            <w:tcW w:w="15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r>
              <w:rPr>
                <w:rFonts w:hint="eastAsia" w:asciiTheme="minorEastAsia" w:hAnsiTheme="minorEastAsia"/>
                <w:b/>
                <w:szCs w:val="21"/>
              </w:rPr>
              <w:t>评分因素</w:t>
            </w:r>
          </w:p>
        </w:tc>
        <w:tc>
          <w:tcPr>
            <w:tcW w:w="6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r>
              <w:rPr>
                <w:rFonts w:hint="eastAsia" w:asciiTheme="minorEastAsia" w:hAnsiTheme="minorEastAsia"/>
                <w:b/>
                <w:szCs w:val="21"/>
              </w:rPr>
              <w:t>评分标准</w:t>
            </w:r>
          </w:p>
        </w:tc>
      </w:tr>
      <w:tr>
        <w:tblPrEx>
          <w:tblCellMar>
            <w:top w:w="0" w:type="dxa"/>
            <w:left w:w="0" w:type="dxa"/>
            <w:bottom w:w="0" w:type="dxa"/>
            <w:right w:w="0" w:type="dxa"/>
          </w:tblCellMar>
        </w:tblPrEx>
        <w:trPr>
          <w:trHeight w:val="557" w:hRule="atLeast"/>
          <w:jc w:val="center"/>
        </w:trPr>
        <w:tc>
          <w:tcPr>
            <w:tcW w:w="9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r>
              <w:rPr>
                <w:rFonts w:hint="eastAsia" w:asciiTheme="minorEastAsia" w:hAnsiTheme="minorEastAsia"/>
                <w:b/>
                <w:szCs w:val="21"/>
              </w:rPr>
              <w:t>1</w:t>
            </w:r>
          </w:p>
        </w:tc>
        <w:tc>
          <w:tcPr>
            <w:tcW w:w="83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r>
              <w:rPr>
                <w:rFonts w:hint="eastAsia" w:asciiTheme="minorEastAsia" w:hAnsiTheme="minorEastAsia"/>
                <w:b/>
                <w:szCs w:val="21"/>
              </w:rPr>
              <w:t>价格部分30分</w:t>
            </w:r>
          </w:p>
        </w:tc>
      </w:tr>
      <w:tr>
        <w:tblPrEx>
          <w:tblCellMar>
            <w:top w:w="0" w:type="dxa"/>
            <w:left w:w="0" w:type="dxa"/>
            <w:bottom w:w="0" w:type="dxa"/>
            <w:right w:w="0" w:type="dxa"/>
          </w:tblCellMar>
        </w:tblPrEx>
        <w:trPr>
          <w:trHeight w:val="510" w:hRule="atLeast"/>
          <w:jc w:val="center"/>
        </w:trPr>
        <w:tc>
          <w:tcPr>
            <w:tcW w:w="2476"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Theme="minorEastAsia" w:hAnsiTheme="minorEastAsia"/>
                <w:szCs w:val="21"/>
              </w:rPr>
            </w:pPr>
            <w:r>
              <w:rPr>
                <w:rFonts w:hint="eastAsia" w:asciiTheme="minorEastAsia" w:hAnsiTheme="minorEastAsia"/>
                <w:szCs w:val="21"/>
              </w:rPr>
              <w:t>报价得分</w:t>
            </w:r>
            <w:r>
              <w:rPr>
                <w:rFonts w:hint="eastAsia" w:asciiTheme="minorEastAsia" w:hAnsiTheme="minorEastAsia"/>
                <w:szCs w:val="21"/>
                <w:lang w:val="en-US" w:eastAsia="zh-CN"/>
              </w:rPr>
              <w:t>40</w:t>
            </w:r>
            <w:r>
              <w:rPr>
                <w:rFonts w:hint="eastAsia" w:asciiTheme="minorEastAsia" w:hAnsiTheme="minorEastAsia"/>
                <w:szCs w:val="21"/>
              </w:rPr>
              <w:t>分</w:t>
            </w:r>
          </w:p>
        </w:tc>
        <w:tc>
          <w:tcPr>
            <w:tcW w:w="6749" w:type="dxa"/>
            <w:tcBorders>
              <w:top w:val="single" w:color="000000" w:sz="4" w:space="0"/>
              <w:left w:val="single" w:color="000000" w:sz="4" w:space="0"/>
              <w:bottom w:val="single" w:color="000000" w:sz="4" w:space="0"/>
              <w:right w:val="single" w:color="000000" w:sz="4" w:space="0"/>
            </w:tcBorders>
            <w:vAlign w:val="center"/>
          </w:tcPr>
          <w:p>
            <w:pPr>
              <w:pStyle w:val="35"/>
              <w:jc w:val="both"/>
              <w:rPr>
                <w:rFonts w:hint="eastAsia" w:asciiTheme="minorEastAsia" w:hAnsiTheme="minorEastAsia" w:eastAsiaTheme="minorEastAsia"/>
                <w:sz w:val="21"/>
                <w:szCs w:val="21"/>
                <w:highlight w:val="none"/>
                <w:lang w:val="zh-CN" w:eastAsia="zh-CN"/>
              </w:rPr>
            </w:pPr>
            <w:r>
              <w:rPr>
                <w:rFonts w:hint="eastAsia" w:asciiTheme="minorEastAsia" w:hAnsiTheme="minorEastAsia" w:eastAsiaTheme="minorEastAsia"/>
                <w:sz w:val="21"/>
                <w:szCs w:val="21"/>
                <w:highlight w:val="none"/>
                <w:lang w:val="zh-CN" w:eastAsia="zh-CN"/>
              </w:rPr>
              <w:t>1、满足招标文件规定且在招标控制价以内的有效报价得基本分</w:t>
            </w:r>
            <w:r>
              <w:rPr>
                <w:rFonts w:hint="eastAsia" w:asciiTheme="minorEastAsia" w:hAnsiTheme="minorEastAsia" w:eastAsiaTheme="minorEastAsia"/>
                <w:sz w:val="21"/>
                <w:szCs w:val="21"/>
                <w:highlight w:val="none"/>
                <w:lang w:val="en-US" w:eastAsia="zh-CN"/>
              </w:rPr>
              <w:t>20</w:t>
            </w:r>
            <w:r>
              <w:rPr>
                <w:rFonts w:hint="eastAsia" w:asciiTheme="minorEastAsia" w:hAnsiTheme="minorEastAsia" w:eastAsiaTheme="minorEastAsia"/>
                <w:sz w:val="21"/>
                <w:szCs w:val="21"/>
                <w:highlight w:val="none"/>
                <w:lang w:val="zh-CN" w:eastAsia="zh-CN"/>
              </w:rPr>
              <w:t>分</w:t>
            </w:r>
          </w:p>
          <w:p>
            <w:pPr>
              <w:pStyle w:val="35"/>
              <w:jc w:val="both"/>
              <w:rPr>
                <w:rFonts w:hint="eastAsia" w:asciiTheme="minorEastAsia" w:hAnsiTheme="minorEastAsia" w:eastAsiaTheme="minorEastAsia"/>
                <w:sz w:val="21"/>
                <w:szCs w:val="21"/>
                <w:highlight w:val="none"/>
                <w:lang w:val="zh-CN" w:eastAsia="zh-CN"/>
              </w:rPr>
            </w:pPr>
            <w:r>
              <w:rPr>
                <w:rFonts w:hint="eastAsia" w:asciiTheme="minorEastAsia" w:hAnsiTheme="minorEastAsia" w:eastAsiaTheme="minorEastAsia"/>
                <w:sz w:val="21"/>
                <w:szCs w:val="21"/>
                <w:highlight w:val="none"/>
                <w:lang w:val="zh-CN" w:eastAsia="zh-CN"/>
              </w:rPr>
              <w:t>2、竞争分</w:t>
            </w:r>
            <w:r>
              <w:rPr>
                <w:rFonts w:hint="eastAsia" w:asciiTheme="minorEastAsia" w:hAnsiTheme="minorEastAsia" w:eastAsiaTheme="minorEastAsia"/>
                <w:sz w:val="21"/>
                <w:szCs w:val="21"/>
                <w:highlight w:val="none"/>
                <w:lang w:eastAsia="zh-CN"/>
              </w:rPr>
              <w:t>20</w:t>
            </w:r>
            <w:r>
              <w:rPr>
                <w:rFonts w:hint="eastAsia" w:asciiTheme="minorEastAsia" w:hAnsiTheme="minorEastAsia" w:eastAsiaTheme="minorEastAsia"/>
                <w:sz w:val="21"/>
                <w:szCs w:val="21"/>
                <w:highlight w:val="none"/>
                <w:lang w:val="zh-CN" w:eastAsia="zh-CN"/>
              </w:rPr>
              <w:t>分按以下标准评审：</w:t>
            </w:r>
          </w:p>
          <w:p>
            <w:pPr>
              <w:pStyle w:val="35"/>
              <w:jc w:val="both"/>
              <w:rPr>
                <w:rFonts w:asciiTheme="minorEastAsia" w:hAnsiTheme="minorEastAsia"/>
                <w:szCs w:val="21"/>
              </w:rPr>
            </w:pPr>
            <w:r>
              <w:rPr>
                <w:rFonts w:hint="eastAsia" w:asciiTheme="minorEastAsia" w:hAnsiTheme="minorEastAsia" w:eastAsiaTheme="minorEastAsia"/>
                <w:sz w:val="21"/>
                <w:szCs w:val="21"/>
                <w:highlight w:val="none"/>
                <w:lang w:val="zh-CN" w:eastAsia="zh-CN"/>
              </w:rPr>
              <w:t>采用低价优先法计算，即满足招标文件要求且报价最低的供应商的价格为基准价，其价格分为满分。其他供应商的价格分计算公式：报价得分=（基准价/投标报价）×</w:t>
            </w:r>
            <w:r>
              <w:rPr>
                <w:rFonts w:hint="eastAsia" w:asciiTheme="minorEastAsia" w:hAnsiTheme="minorEastAsia" w:eastAsiaTheme="minorEastAsia"/>
                <w:sz w:val="21"/>
                <w:szCs w:val="21"/>
                <w:highlight w:val="none"/>
                <w:lang w:eastAsia="zh-CN"/>
              </w:rPr>
              <w:t>20</w:t>
            </w:r>
            <w:r>
              <w:rPr>
                <w:rFonts w:hint="eastAsia" w:asciiTheme="minorEastAsia" w:hAnsiTheme="minorEastAsia" w:eastAsiaTheme="minorEastAsia"/>
                <w:sz w:val="21"/>
                <w:szCs w:val="21"/>
                <w:highlight w:val="none"/>
                <w:lang w:val="zh-CN" w:eastAsia="zh-CN"/>
              </w:rPr>
              <w:t xml:space="preserve">。 </w:t>
            </w:r>
          </w:p>
        </w:tc>
      </w:tr>
      <w:tr>
        <w:tblPrEx>
          <w:tblCellMar>
            <w:top w:w="0" w:type="dxa"/>
            <w:left w:w="0" w:type="dxa"/>
            <w:bottom w:w="0" w:type="dxa"/>
            <w:right w:w="0" w:type="dxa"/>
          </w:tblCellMar>
        </w:tblPrEx>
        <w:trPr>
          <w:trHeight w:val="380" w:hRule="atLeast"/>
          <w:jc w:val="center"/>
        </w:trPr>
        <w:tc>
          <w:tcPr>
            <w:tcW w:w="916"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r>
              <w:rPr>
                <w:rFonts w:hint="eastAsia" w:asciiTheme="minorEastAsia" w:hAnsiTheme="minorEastAsia"/>
                <w:b/>
                <w:szCs w:val="21"/>
              </w:rPr>
              <w:t>2</w:t>
            </w:r>
          </w:p>
        </w:tc>
        <w:tc>
          <w:tcPr>
            <w:tcW w:w="83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rPr>
            </w:pPr>
            <w:r>
              <w:rPr>
                <w:rFonts w:hint="eastAsia" w:asciiTheme="minorEastAsia" w:hAnsiTheme="minorEastAsia"/>
                <w:b/>
                <w:szCs w:val="21"/>
              </w:rPr>
              <w:t>商务部分35分</w:t>
            </w:r>
          </w:p>
        </w:tc>
      </w:tr>
      <w:tr>
        <w:tblPrEx>
          <w:tblCellMar>
            <w:top w:w="0" w:type="dxa"/>
            <w:left w:w="0" w:type="dxa"/>
            <w:bottom w:w="0" w:type="dxa"/>
            <w:right w:w="0" w:type="dxa"/>
          </w:tblCellMar>
        </w:tblPrEx>
        <w:trPr>
          <w:trHeight w:val="410"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p>
        </w:tc>
        <w:tc>
          <w:tcPr>
            <w:tcW w:w="15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r>
              <w:rPr>
                <w:rFonts w:hint="eastAsia" w:asciiTheme="minorEastAsia" w:hAnsiTheme="minorEastAsia"/>
                <w:b/>
                <w:szCs w:val="21"/>
              </w:rPr>
              <w:t>评分因素</w:t>
            </w:r>
          </w:p>
        </w:tc>
        <w:tc>
          <w:tcPr>
            <w:tcW w:w="6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r>
              <w:rPr>
                <w:rFonts w:hint="eastAsia" w:asciiTheme="minorEastAsia" w:hAnsiTheme="minorEastAsia"/>
                <w:b/>
                <w:szCs w:val="21"/>
              </w:rPr>
              <w:t>评分标准</w:t>
            </w:r>
          </w:p>
        </w:tc>
      </w:tr>
      <w:tr>
        <w:tblPrEx>
          <w:tblCellMar>
            <w:top w:w="0" w:type="dxa"/>
            <w:left w:w="0" w:type="dxa"/>
            <w:bottom w:w="0" w:type="dxa"/>
            <w:right w:w="0" w:type="dxa"/>
          </w:tblCellMar>
        </w:tblPrEx>
        <w:trPr>
          <w:trHeight w:val="1233" w:hRule="atLeast"/>
          <w:jc w:val="center"/>
        </w:trPr>
        <w:tc>
          <w:tcPr>
            <w:tcW w:w="916" w:type="dxa"/>
            <w:vMerge w:val="restart"/>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hint="default" w:asciiTheme="minorEastAsia" w:hAnsiTheme="minorEastAsia" w:eastAsiaTheme="minorEastAsia"/>
                <w:szCs w:val="21"/>
                <w:lang w:val="en-US" w:eastAsia="zh-CN"/>
              </w:rPr>
            </w:pPr>
            <w:r>
              <w:rPr>
                <w:rFonts w:hint="eastAsia" w:asciiTheme="minorEastAsia" w:hAnsiTheme="minorEastAsia"/>
                <w:szCs w:val="21"/>
                <w:lang w:val="en-US" w:eastAsia="zh-CN"/>
              </w:rPr>
              <w:t>商务部分45分</w:t>
            </w:r>
          </w:p>
        </w:tc>
        <w:tc>
          <w:tcPr>
            <w:tcW w:w="15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hint="default" w:asciiTheme="minorEastAsia" w:hAnsiTheme="minorEastAsia" w:eastAsiaTheme="minorEastAsia"/>
                <w:szCs w:val="21"/>
                <w:lang w:val="en-US" w:eastAsia="zh-CN"/>
              </w:rPr>
            </w:pPr>
            <w:r>
              <w:rPr>
                <w:rFonts w:hint="eastAsia" w:asciiTheme="minorEastAsia" w:hAnsiTheme="minorEastAsia"/>
                <w:szCs w:val="21"/>
              </w:rPr>
              <w:t>类似业绩1</w:t>
            </w:r>
            <w:r>
              <w:rPr>
                <w:rFonts w:hint="eastAsia" w:asciiTheme="minorEastAsia" w:hAnsiTheme="minorEastAsia"/>
                <w:szCs w:val="21"/>
                <w:lang w:val="en-US" w:eastAsia="zh-CN"/>
              </w:rPr>
              <w:t>5分</w:t>
            </w:r>
          </w:p>
        </w:tc>
        <w:tc>
          <w:tcPr>
            <w:tcW w:w="6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szCs w:val="21"/>
              </w:rPr>
            </w:pPr>
            <w:r>
              <w:rPr>
                <w:rFonts w:hint="eastAsia" w:asciiTheme="minorEastAsia" w:hAnsiTheme="minorEastAsia" w:eastAsiaTheme="minorEastAsia"/>
                <w:sz w:val="21"/>
                <w:szCs w:val="21"/>
              </w:rPr>
              <w:t>投标人近三年（201</w:t>
            </w:r>
            <w:r>
              <w:rPr>
                <w:rFonts w:hint="eastAsia" w:asciiTheme="minorEastAsia" w:hAnsiTheme="minorEastAsia"/>
                <w:sz w:val="21"/>
                <w:szCs w:val="21"/>
                <w:lang w:val="en-US" w:eastAsia="zh-CN"/>
              </w:rPr>
              <w:t>9</w:t>
            </w:r>
            <w:r>
              <w:rPr>
                <w:rFonts w:hint="eastAsia" w:asciiTheme="minorEastAsia" w:hAnsiTheme="minorEastAsia" w:eastAsiaTheme="minorEastAsia"/>
                <w:sz w:val="21"/>
                <w:szCs w:val="21"/>
              </w:rPr>
              <w:t>年</w:t>
            </w:r>
            <w:r>
              <w:rPr>
                <w:rFonts w:hint="eastAsia" w:asciiTheme="minorEastAsia" w:hAnsiTheme="minorEastAsia"/>
                <w:sz w:val="21"/>
                <w:szCs w:val="21"/>
                <w:lang w:val="en-US" w:eastAsia="zh-CN"/>
              </w:rPr>
              <w:t>1月至今</w:t>
            </w:r>
            <w:r>
              <w:rPr>
                <w:rFonts w:hint="eastAsia" w:asciiTheme="minorEastAsia" w:hAnsiTheme="minorEastAsia" w:eastAsiaTheme="minorEastAsia"/>
                <w:sz w:val="21"/>
                <w:szCs w:val="21"/>
              </w:rPr>
              <w:t>）承担过</w:t>
            </w:r>
            <w:r>
              <w:rPr>
                <w:rFonts w:hint="eastAsia" w:asciiTheme="minorEastAsia" w:hAnsiTheme="minorEastAsia"/>
                <w:sz w:val="21"/>
                <w:szCs w:val="21"/>
                <w:lang w:val="en-US" w:eastAsia="zh-CN"/>
              </w:rPr>
              <w:t>50</w:t>
            </w:r>
            <w:r>
              <w:rPr>
                <w:rFonts w:hint="eastAsia" w:asciiTheme="minorEastAsia" w:hAnsiTheme="minorEastAsia" w:eastAsiaTheme="minorEastAsia"/>
                <w:sz w:val="21"/>
                <w:szCs w:val="21"/>
              </w:rPr>
              <w:t>万元及以上的工程勘察业绩的，每提供一个得</w:t>
            </w:r>
            <w:r>
              <w:rPr>
                <w:rFonts w:hint="eastAsia" w:asciiTheme="minorEastAsia" w:hAnsiTheme="minorEastAsia"/>
                <w:sz w:val="21"/>
                <w:szCs w:val="21"/>
                <w:lang w:val="en-US" w:eastAsia="zh-CN"/>
              </w:rPr>
              <w:t>5</w:t>
            </w:r>
            <w:r>
              <w:rPr>
                <w:rFonts w:hint="eastAsia" w:asciiTheme="minorEastAsia" w:hAnsiTheme="minorEastAsia" w:eastAsiaTheme="minorEastAsia"/>
                <w:sz w:val="21"/>
                <w:szCs w:val="21"/>
              </w:rPr>
              <w:t>分，最多得1</w:t>
            </w:r>
            <w:r>
              <w:rPr>
                <w:rFonts w:hint="eastAsia" w:asciiTheme="minorEastAsia" w:hAnsiTheme="minorEastAsia"/>
                <w:sz w:val="21"/>
                <w:szCs w:val="21"/>
                <w:lang w:val="en-US" w:eastAsia="zh-CN"/>
              </w:rPr>
              <w:t>5</w:t>
            </w:r>
            <w:r>
              <w:rPr>
                <w:rFonts w:hint="eastAsia" w:asciiTheme="minorEastAsia" w:hAnsiTheme="minorEastAsia" w:eastAsiaTheme="minorEastAsia"/>
                <w:sz w:val="21"/>
                <w:szCs w:val="21"/>
              </w:rPr>
              <w:t>分。（提供中标通知书或勘察合同证明资料的复印件，并加盖公章。）</w:t>
            </w:r>
          </w:p>
        </w:tc>
      </w:tr>
      <w:tr>
        <w:tblPrEx>
          <w:tblCellMar>
            <w:top w:w="0" w:type="dxa"/>
            <w:left w:w="0" w:type="dxa"/>
            <w:bottom w:w="0" w:type="dxa"/>
            <w:right w:w="0" w:type="dxa"/>
          </w:tblCellMar>
        </w:tblPrEx>
        <w:trPr>
          <w:trHeight w:val="1968" w:hRule="atLeast"/>
          <w:jc w:val="center"/>
        </w:trPr>
        <w:tc>
          <w:tcPr>
            <w:tcW w:w="916" w:type="dxa"/>
            <w:vMerge w:val="continue"/>
            <w:tcBorders>
              <w:left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rPr>
            </w:pPr>
          </w:p>
        </w:tc>
        <w:tc>
          <w:tcPr>
            <w:tcW w:w="15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rPr>
            </w:pPr>
            <w:r>
              <w:rPr>
                <w:rFonts w:hint="eastAsia" w:asciiTheme="minorEastAsia" w:hAnsiTheme="minorEastAsia"/>
                <w:szCs w:val="21"/>
              </w:rPr>
              <w:t>项目负责人</w:t>
            </w:r>
            <w:r>
              <w:rPr>
                <w:rFonts w:hint="eastAsia" w:asciiTheme="minorEastAsia" w:hAnsiTheme="minorEastAsia"/>
                <w:szCs w:val="21"/>
                <w:lang w:val="en-US" w:eastAsia="zh-CN"/>
              </w:rPr>
              <w:t>15</w:t>
            </w:r>
            <w:r>
              <w:rPr>
                <w:rFonts w:hint="eastAsia" w:asciiTheme="minorEastAsia" w:hAnsiTheme="minorEastAsia"/>
                <w:szCs w:val="21"/>
              </w:rPr>
              <w:t>分</w:t>
            </w:r>
          </w:p>
        </w:tc>
        <w:tc>
          <w:tcPr>
            <w:tcW w:w="6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Theme="minorEastAsia" w:hAnsiTheme="minorEastAsia"/>
                <w:szCs w:val="21"/>
              </w:rPr>
            </w:pPr>
            <w:r>
              <w:rPr>
                <w:rFonts w:hint="eastAsia" w:asciiTheme="minorEastAsia" w:hAnsiTheme="minorEastAsia"/>
                <w:szCs w:val="21"/>
              </w:rPr>
              <w:t>（1）项目负责人具备具备</w:t>
            </w:r>
            <w:r>
              <w:rPr>
                <w:rFonts w:hint="eastAsia" w:asciiTheme="minorEastAsia" w:hAnsiTheme="minorEastAsia"/>
                <w:szCs w:val="21"/>
                <w:lang w:val="en-US" w:eastAsia="zh-CN"/>
              </w:rPr>
              <w:t>中</w:t>
            </w:r>
            <w:r>
              <w:rPr>
                <w:rFonts w:hint="eastAsia" w:asciiTheme="minorEastAsia" w:hAnsiTheme="minorEastAsia"/>
                <w:szCs w:val="21"/>
              </w:rPr>
              <w:t>级</w:t>
            </w:r>
            <w:r>
              <w:rPr>
                <w:rFonts w:hint="eastAsia" w:asciiTheme="minorEastAsia" w:hAnsiTheme="minorEastAsia"/>
                <w:szCs w:val="21"/>
                <w:lang w:eastAsia="zh-CN"/>
              </w:rPr>
              <w:t>及以上</w:t>
            </w:r>
            <w:r>
              <w:rPr>
                <w:rFonts w:hint="eastAsia" w:asciiTheme="minorEastAsia" w:hAnsiTheme="minorEastAsia"/>
                <w:szCs w:val="21"/>
              </w:rPr>
              <w:t>职称的得</w:t>
            </w:r>
            <w:r>
              <w:rPr>
                <w:rFonts w:hint="eastAsia" w:asciiTheme="minorEastAsia" w:hAnsiTheme="minorEastAsia"/>
                <w:szCs w:val="21"/>
                <w:lang w:val="en-US" w:eastAsia="zh-CN"/>
              </w:rPr>
              <w:t>5</w:t>
            </w:r>
            <w:r>
              <w:rPr>
                <w:rFonts w:hint="eastAsia" w:asciiTheme="minorEastAsia" w:hAnsiTheme="minorEastAsia"/>
                <w:szCs w:val="21"/>
              </w:rPr>
              <w:t>分（提供项目负责人职称证书复印件近三个月</w:t>
            </w:r>
            <w:r>
              <w:rPr>
                <w:rFonts w:asciiTheme="minorEastAsia" w:hAnsiTheme="minorEastAsia"/>
                <w:szCs w:val="21"/>
              </w:rPr>
              <w:t>社保缴纳证明复印件加盖公章</w:t>
            </w:r>
            <w:r>
              <w:rPr>
                <w:rFonts w:hint="eastAsia" w:asciiTheme="minorEastAsia" w:hAnsiTheme="minorEastAsia"/>
                <w:szCs w:val="21"/>
              </w:rPr>
              <w:t>）；</w:t>
            </w:r>
          </w:p>
          <w:p>
            <w:pPr>
              <w:jc w:val="left"/>
              <w:rPr>
                <w:rFonts w:hint="eastAsia" w:asciiTheme="minorEastAsia" w:hAnsiTheme="minorEastAsia" w:eastAsiaTheme="minorEastAsia"/>
                <w:szCs w:val="21"/>
                <w:lang w:eastAsia="zh-CN"/>
              </w:rPr>
            </w:pPr>
            <w:r>
              <w:rPr>
                <w:rFonts w:hint="eastAsia" w:asciiTheme="minorEastAsia" w:hAnsiTheme="minorEastAsia"/>
                <w:szCs w:val="21"/>
              </w:rPr>
              <w:t>（2）项目负责人近三年（2019年1月）具有类似</w:t>
            </w:r>
            <w:r>
              <w:rPr>
                <w:rFonts w:hint="eastAsia" w:asciiTheme="minorEastAsia" w:hAnsiTheme="minorEastAsia"/>
                <w:szCs w:val="21"/>
                <w:lang w:val="en-US" w:eastAsia="zh-CN"/>
              </w:rPr>
              <w:t>工程勘察</w:t>
            </w:r>
            <w:r>
              <w:rPr>
                <w:rFonts w:hint="eastAsia" w:asciiTheme="minorEastAsia" w:hAnsiTheme="minorEastAsia"/>
                <w:szCs w:val="21"/>
              </w:rPr>
              <w:t>业绩的，有一项得</w:t>
            </w:r>
            <w:r>
              <w:rPr>
                <w:rFonts w:hint="eastAsia" w:asciiTheme="minorEastAsia" w:hAnsiTheme="minorEastAsia"/>
                <w:szCs w:val="21"/>
                <w:lang w:val="en-US" w:eastAsia="zh-CN"/>
              </w:rPr>
              <w:t>5</w:t>
            </w:r>
            <w:r>
              <w:rPr>
                <w:rFonts w:hint="eastAsia" w:asciiTheme="minorEastAsia" w:hAnsiTheme="minorEastAsia"/>
                <w:szCs w:val="21"/>
              </w:rPr>
              <w:t>分，最多得</w:t>
            </w:r>
            <w:r>
              <w:rPr>
                <w:rFonts w:hint="eastAsia" w:asciiTheme="minorEastAsia" w:hAnsiTheme="minorEastAsia"/>
                <w:szCs w:val="21"/>
                <w:lang w:val="en-US" w:eastAsia="zh-CN"/>
              </w:rPr>
              <w:t>10</w:t>
            </w:r>
            <w:r>
              <w:rPr>
                <w:rFonts w:hint="eastAsia" w:asciiTheme="minorEastAsia" w:hAnsiTheme="minorEastAsia"/>
                <w:szCs w:val="21"/>
              </w:rPr>
              <w:t>分。</w:t>
            </w:r>
            <w:r>
              <w:rPr>
                <w:rFonts w:hint="eastAsia" w:asciiTheme="minorEastAsia" w:hAnsiTheme="minorEastAsia"/>
                <w:szCs w:val="21"/>
                <w:lang w:eastAsia="zh-CN"/>
              </w:rPr>
              <w:t>（提供中标通知书和合同等文件）</w:t>
            </w:r>
          </w:p>
        </w:tc>
      </w:tr>
      <w:tr>
        <w:tblPrEx>
          <w:tblCellMar>
            <w:top w:w="0" w:type="dxa"/>
            <w:left w:w="0" w:type="dxa"/>
            <w:bottom w:w="0" w:type="dxa"/>
            <w:right w:w="0" w:type="dxa"/>
          </w:tblCellMar>
        </w:tblPrEx>
        <w:trPr>
          <w:trHeight w:val="1342" w:hRule="atLeast"/>
          <w:jc w:val="center"/>
        </w:trPr>
        <w:tc>
          <w:tcPr>
            <w:tcW w:w="916" w:type="dxa"/>
            <w:vMerge w:val="continue"/>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rPr>
            </w:pPr>
          </w:p>
        </w:tc>
        <w:tc>
          <w:tcPr>
            <w:tcW w:w="15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rPr>
            </w:pPr>
            <w:r>
              <w:rPr>
                <w:rFonts w:hint="eastAsia" w:asciiTheme="minorEastAsia" w:hAnsiTheme="minorEastAsia"/>
                <w:szCs w:val="21"/>
              </w:rPr>
              <w:t>拟派人员</w:t>
            </w:r>
            <w:r>
              <w:rPr>
                <w:rFonts w:hint="eastAsia" w:asciiTheme="minorEastAsia" w:hAnsiTheme="minorEastAsia"/>
                <w:szCs w:val="21"/>
                <w:lang w:val="en-US" w:eastAsia="zh-CN"/>
              </w:rPr>
              <w:t>15</w:t>
            </w:r>
            <w:r>
              <w:rPr>
                <w:rFonts w:hint="eastAsia" w:asciiTheme="minorEastAsia" w:hAnsiTheme="minorEastAsia"/>
                <w:szCs w:val="21"/>
              </w:rPr>
              <w:t>分</w:t>
            </w:r>
          </w:p>
        </w:tc>
        <w:tc>
          <w:tcPr>
            <w:tcW w:w="6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eastAsia" w:asciiTheme="minorEastAsia" w:hAnsiTheme="minorEastAsia"/>
                <w:szCs w:val="21"/>
              </w:rPr>
            </w:pPr>
            <w:r>
              <w:rPr>
                <w:rFonts w:hint="eastAsia" w:asciiTheme="minorEastAsia" w:hAnsiTheme="minorEastAsia"/>
                <w:szCs w:val="21"/>
              </w:rPr>
              <w:t>1、拟派的项目团队成员中具有岩土专业中级及以上职称，每提供一个得</w:t>
            </w:r>
            <w:r>
              <w:rPr>
                <w:rFonts w:hint="eastAsia" w:asciiTheme="minorEastAsia" w:hAnsiTheme="minorEastAsia"/>
                <w:szCs w:val="21"/>
                <w:lang w:val="en-US" w:eastAsia="zh-CN"/>
              </w:rPr>
              <w:t>5</w:t>
            </w:r>
            <w:r>
              <w:rPr>
                <w:rFonts w:hint="eastAsia" w:asciiTheme="minorEastAsia" w:hAnsiTheme="minorEastAsia"/>
                <w:szCs w:val="21"/>
              </w:rPr>
              <w:t>分，最多得</w:t>
            </w:r>
            <w:r>
              <w:rPr>
                <w:rFonts w:hint="eastAsia" w:asciiTheme="minorEastAsia" w:hAnsiTheme="minorEastAsia"/>
                <w:szCs w:val="21"/>
                <w:lang w:val="en-US" w:eastAsia="zh-CN"/>
              </w:rPr>
              <w:t>15</w:t>
            </w:r>
            <w:r>
              <w:rPr>
                <w:rFonts w:hint="eastAsia" w:asciiTheme="minorEastAsia" w:hAnsiTheme="minorEastAsia"/>
                <w:szCs w:val="21"/>
              </w:rPr>
              <w:t>分，项目负责人除外。</w:t>
            </w:r>
          </w:p>
          <w:p>
            <w:pPr>
              <w:jc w:val="left"/>
              <w:rPr>
                <w:rFonts w:asciiTheme="minorEastAsia" w:hAnsiTheme="minorEastAsia"/>
                <w:szCs w:val="21"/>
              </w:rPr>
            </w:pPr>
            <w:r>
              <w:rPr>
                <w:rFonts w:hint="eastAsia" w:asciiTheme="minorEastAsia" w:hAnsiTheme="minorEastAsia"/>
                <w:szCs w:val="21"/>
              </w:rPr>
              <w:t xml:space="preserve">（提供近三个月社保证明复印件、职称证书复印件并加盖公章） </w:t>
            </w:r>
          </w:p>
        </w:tc>
      </w:tr>
      <w:tr>
        <w:tblPrEx>
          <w:tblCellMar>
            <w:top w:w="0" w:type="dxa"/>
            <w:left w:w="0" w:type="dxa"/>
            <w:bottom w:w="0" w:type="dxa"/>
            <w:right w:w="0" w:type="dxa"/>
          </w:tblCellMar>
        </w:tblPrEx>
        <w:trPr>
          <w:trHeight w:val="551" w:hRule="atLeast"/>
          <w:jc w:val="center"/>
        </w:trPr>
        <w:tc>
          <w:tcPr>
            <w:tcW w:w="916"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r>
              <w:rPr>
                <w:rFonts w:hint="eastAsia" w:asciiTheme="minorEastAsia" w:hAnsiTheme="minorEastAsia"/>
                <w:b/>
                <w:szCs w:val="21"/>
              </w:rPr>
              <w:t>3</w:t>
            </w:r>
          </w:p>
        </w:tc>
        <w:tc>
          <w:tcPr>
            <w:tcW w:w="83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Theme="minorEastAsia" w:hAnsiTheme="minorEastAsia"/>
                <w:b/>
                <w:szCs w:val="21"/>
              </w:rPr>
            </w:pPr>
            <w:r>
              <w:rPr>
                <w:rFonts w:hint="eastAsia" w:asciiTheme="minorEastAsia" w:hAnsiTheme="minorEastAsia"/>
                <w:b/>
                <w:szCs w:val="21"/>
              </w:rPr>
              <w:t>技术部分35分</w:t>
            </w:r>
          </w:p>
        </w:tc>
      </w:tr>
      <w:tr>
        <w:tblPrEx>
          <w:tblCellMar>
            <w:top w:w="0" w:type="dxa"/>
            <w:left w:w="0" w:type="dxa"/>
            <w:bottom w:w="0" w:type="dxa"/>
            <w:right w:w="0" w:type="dxa"/>
          </w:tblCellMar>
        </w:tblPrEx>
        <w:trPr>
          <w:trHeight w:val="341"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p>
        </w:tc>
        <w:tc>
          <w:tcPr>
            <w:tcW w:w="15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r>
              <w:rPr>
                <w:rFonts w:hint="eastAsia" w:asciiTheme="minorEastAsia" w:hAnsiTheme="minorEastAsia"/>
                <w:b/>
                <w:szCs w:val="21"/>
              </w:rPr>
              <w:t>评分因素</w:t>
            </w:r>
          </w:p>
        </w:tc>
        <w:tc>
          <w:tcPr>
            <w:tcW w:w="6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Theme="minorEastAsia" w:hAnsiTheme="minorEastAsia"/>
                <w:b/>
                <w:szCs w:val="21"/>
              </w:rPr>
            </w:pPr>
            <w:r>
              <w:rPr>
                <w:rFonts w:hint="eastAsia" w:asciiTheme="minorEastAsia" w:hAnsiTheme="minorEastAsia"/>
                <w:b/>
                <w:szCs w:val="21"/>
              </w:rPr>
              <w:t>评分标准</w:t>
            </w:r>
          </w:p>
        </w:tc>
      </w:tr>
      <w:tr>
        <w:tblPrEx>
          <w:tblCellMar>
            <w:top w:w="0" w:type="dxa"/>
            <w:left w:w="0" w:type="dxa"/>
            <w:bottom w:w="0" w:type="dxa"/>
            <w:right w:w="0" w:type="dxa"/>
          </w:tblCellMar>
        </w:tblPrEx>
        <w:trPr>
          <w:trHeight w:val="856" w:hRule="atLeast"/>
          <w:jc w:val="center"/>
        </w:trPr>
        <w:tc>
          <w:tcPr>
            <w:tcW w:w="916" w:type="dxa"/>
            <w:vMerge w:val="restart"/>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hint="default" w:asciiTheme="minorEastAsia" w:hAnsiTheme="minorEastAsia" w:eastAsiaTheme="minorEastAsia"/>
                <w:szCs w:val="21"/>
                <w:lang w:val="en-US" w:eastAsia="zh-CN"/>
              </w:rPr>
            </w:pPr>
            <w:r>
              <w:rPr>
                <w:rFonts w:hint="eastAsia" w:ascii="宋体" w:hAnsi="宋体" w:eastAsia="宋体" w:cs="宋体"/>
                <w:color w:val="auto"/>
                <w:sz w:val="24"/>
                <w:szCs w:val="24"/>
                <w:highlight w:val="none"/>
                <w:lang w:val="en-US" w:eastAsia="zh-CN" w:bidi="ar"/>
              </w:rPr>
              <w:t>技术方案15分</w:t>
            </w:r>
          </w:p>
        </w:tc>
        <w:tc>
          <w:tcPr>
            <w:tcW w:w="1560" w:type="dxa"/>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pStyle w:val="5"/>
              <w:spacing w:before="151" w:line="357" w:lineRule="auto"/>
              <w:ind w:left="113" w:leftChars="0" w:right="-10" w:rightChars="0"/>
              <w:jc w:val="center"/>
              <w:outlineLvl w:val="2"/>
              <w:rPr>
                <w:rFonts w:hint="default" w:asciiTheme="minorEastAsia" w:hAnsiTheme="minorEastAsia"/>
                <w:szCs w:val="21"/>
                <w:lang w:val="en-US"/>
              </w:rPr>
            </w:pPr>
            <w:r>
              <w:rPr>
                <w:rFonts w:hint="eastAsia" w:cs="宋体"/>
                <w:b w:val="0"/>
                <w:bCs w:val="0"/>
                <w:color w:val="auto"/>
                <w:highlight w:val="none"/>
                <w:lang w:eastAsia="zh-CN"/>
              </w:rPr>
              <w:t>项目实施方案</w:t>
            </w:r>
            <w:r>
              <w:rPr>
                <w:rFonts w:hint="eastAsia" w:cs="宋体"/>
                <w:b w:val="0"/>
                <w:bCs w:val="0"/>
                <w:color w:val="auto"/>
                <w:highlight w:val="none"/>
                <w:lang w:val="en-US" w:eastAsia="zh-CN"/>
              </w:rPr>
              <w:t>5分</w:t>
            </w:r>
          </w:p>
        </w:tc>
        <w:tc>
          <w:tcPr>
            <w:tcW w:w="6749" w:type="dxa"/>
            <w:tcBorders>
              <w:top w:val="single" w:color="000000" w:sz="4" w:space="0"/>
              <w:left w:val="single" w:color="000000" w:sz="4" w:space="0"/>
              <w:right w:val="single" w:color="000000" w:sz="4" w:space="0"/>
            </w:tcBorders>
            <w:tcMar>
              <w:top w:w="0" w:type="dxa"/>
              <w:left w:w="108" w:type="dxa"/>
              <w:bottom w:w="0" w:type="dxa"/>
              <w:right w:w="108" w:type="dxa"/>
            </w:tcMar>
            <w:vAlign w:val="top"/>
          </w:tcPr>
          <w:p>
            <w:pPr>
              <w:widowControl/>
              <w:jc w:val="left"/>
              <w:rPr>
                <w:rFonts w:asciiTheme="minorEastAsia" w:hAnsiTheme="minorEastAsia"/>
                <w:szCs w:val="21"/>
              </w:rPr>
            </w:pPr>
            <w:r>
              <w:rPr>
                <w:rFonts w:hint="eastAsia" w:ascii="宋体" w:hAnsi="宋体" w:eastAsia="宋体" w:cs="宋体"/>
                <w:color w:val="auto"/>
                <w:sz w:val="24"/>
                <w:szCs w:val="24"/>
                <w:highlight w:val="none"/>
                <w:lang w:eastAsia="zh-CN" w:bidi="ar"/>
              </w:rPr>
              <w:t>对项目地现状有清晰的认知，对问题把握准确，</w:t>
            </w:r>
            <w:r>
              <w:rPr>
                <w:rFonts w:hint="eastAsia" w:ascii="宋体" w:hAnsi="宋体" w:eastAsia="宋体" w:cs="宋体"/>
                <w:color w:val="auto"/>
                <w:sz w:val="24"/>
                <w:szCs w:val="24"/>
                <w:highlight w:val="none"/>
                <w:lang w:eastAsia="zh-CN"/>
              </w:rPr>
              <w:t>项目实施方案</w:t>
            </w:r>
            <w:r>
              <w:rPr>
                <w:rFonts w:hint="eastAsia" w:ascii="宋体" w:hAnsi="宋体" w:eastAsia="宋体" w:cs="宋体"/>
                <w:color w:val="auto"/>
                <w:sz w:val="24"/>
                <w:szCs w:val="24"/>
                <w:highlight w:val="none"/>
                <w:lang w:eastAsia="zh-CN" w:bidi="ar"/>
              </w:rPr>
              <w:t>合理、详细、全面，优秀得</w:t>
            </w:r>
            <w:r>
              <w:rPr>
                <w:rFonts w:hint="eastAsia" w:ascii="宋体" w:hAnsi="宋体" w:eastAsia="宋体" w:cs="宋体"/>
                <w:color w:val="auto"/>
                <w:sz w:val="24"/>
                <w:szCs w:val="24"/>
                <w:highlight w:val="none"/>
                <w:lang w:val="en-US" w:eastAsia="zh-CN" w:bidi="ar"/>
              </w:rPr>
              <w:t>5-3</w:t>
            </w:r>
            <w:r>
              <w:rPr>
                <w:rFonts w:hint="eastAsia" w:ascii="宋体" w:hAnsi="宋体" w:eastAsia="宋体" w:cs="宋体"/>
                <w:color w:val="auto"/>
                <w:sz w:val="24"/>
                <w:szCs w:val="24"/>
                <w:highlight w:val="none"/>
                <w:lang w:eastAsia="zh-CN" w:bidi="ar"/>
              </w:rPr>
              <w:t xml:space="preserve">分，良好得 </w:t>
            </w:r>
            <w:r>
              <w:rPr>
                <w:rFonts w:hint="eastAsia" w:ascii="宋体" w:hAnsi="宋体" w:eastAsia="宋体" w:cs="宋体"/>
                <w:color w:val="auto"/>
                <w:sz w:val="24"/>
                <w:szCs w:val="24"/>
                <w:highlight w:val="none"/>
                <w:lang w:val="en-US" w:eastAsia="zh-CN" w:bidi="ar"/>
              </w:rPr>
              <w:t>3-1</w:t>
            </w:r>
            <w:r>
              <w:rPr>
                <w:rFonts w:hint="eastAsia" w:ascii="宋体" w:hAnsi="宋体" w:eastAsia="宋体" w:cs="宋体"/>
                <w:color w:val="auto"/>
                <w:sz w:val="24"/>
                <w:szCs w:val="24"/>
                <w:highlight w:val="none"/>
                <w:lang w:eastAsia="zh-CN" w:bidi="ar"/>
              </w:rPr>
              <w:t>分，一般得 1-</w:t>
            </w:r>
            <w:r>
              <w:rPr>
                <w:rFonts w:hint="eastAsia" w:ascii="宋体" w:hAnsi="宋体" w:eastAsia="宋体" w:cs="宋体"/>
                <w:color w:val="auto"/>
                <w:sz w:val="24"/>
                <w:szCs w:val="24"/>
                <w:highlight w:val="none"/>
                <w:lang w:val="en-US" w:eastAsia="zh-CN" w:bidi="ar"/>
              </w:rPr>
              <w:t>0</w:t>
            </w:r>
            <w:r>
              <w:rPr>
                <w:rFonts w:hint="eastAsia" w:ascii="宋体" w:hAnsi="宋体" w:eastAsia="宋体" w:cs="宋体"/>
                <w:color w:val="auto"/>
                <w:sz w:val="24"/>
                <w:szCs w:val="24"/>
                <w:highlight w:val="none"/>
                <w:lang w:eastAsia="zh-CN" w:bidi="ar"/>
              </w:rPr>
              <w:t xml:space="preserve">分；未提供的不得分。 </w:t>
            </w:r>
          </w:p>
        </w:tc>
      </w:tr>
      <w:tr>
        <w:tblPrEx>
          <w:tblCellMar>
            <w:top w:w="0" w:type="dxa"/>
            <w:left w:w="0" w:type="dxa"/>
            <w:bottom w:w="0" w:type="dxa"/>
            <w:right w:w="0" w:type="dxa"/>
          </w:tblCellMar>
        </w:tblPrEx>
        <w:trPr>
          <w:trHeight w:val="750" w:hRule="atLeast"/>
          <w:jc w:val="center"/>
        </w:trPr>
        <w:tc>
          <w:tcPr>
            <w:tcW w:w="916" w:type="dxa"/>
            <w:vMerge w:val="continue"/>
            <w:tcBorders>
              <w:left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rPr>
            </w:pPr>
          </w:p>
        </w:tc>
        <w:tc>
          <w:tcPr>
            <w:tcW w:w="15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hint="default" w:ascii="宋体" w:hAnsi="宋体" w:cs="宋体"/>
                <w:color w:val="000000"/>
                <w:kern w:val="0"/>
                <w:szCs w:val="21"/>
                <w:lang w:val="en-US"/>
              </w:rPr>
            </w:pPr>
            <w:r>
              <w:rPr>
                <w:rFonts w:hint="eastAsia" w:ascii="宋体" w:hAnsi="宋体" w:eastAsia="宋体" w:cs="宋体"/>
                <w:color w:val="auto"/>
                <w:sz w:val="24"/>
                <w:szCs w:val="24"/>
                <w:highlight w:val="none"/>
                <w:lang w:eastAsia="zh-CN" w:bidi="ar"/>
              </w:rPr>
              <w:t>对项目需求理解深入准确</w:t>
            </w:r>
            <w:r>
              <w:rPr>
                <w:rFonts w:hint="eastAsia" w:ascii="宋体" w:hAnsi="宋体" w:eastAsia="宋体" w:cs="宋体"/>
                <w:color w:val="auto"/>
                <w:sz w:val="24"/>
                <w:szCs w:val="24"/>
                <w:highlight w:val="none"/>
                <w:lang w:val="en-US" w:eastAsia="zh-CN" w:bidi="ar"/>
              </w:rPr>
              <w:t>4分</w:t>
            </w:r>
          </w:p>
        </w:tc>
        <w:tc>
          <w:tcPr>
            <w:tcW w:w="6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top"/>
          </w:tcPr>
          <w:p>
            <w:pPr>
              <w:widowControl/>
              <w:jc w:val="left"/>
              <w:rPr>
                <w:rFonts w:asciiTheme="minorEastAsia" w:hAnsiTheme="minorEastAsia"/>
                <w:szCs w:val="21"/>
              </w:rPr>
            </w:pPr>
            <w:r>
              <w:rPr>
                <w:rFonts w:hint="eastAsia" w:ascii="宋体" w:hAnsi="宋体" w:eastAsia="宋体" w:cs="宋体"/>
                <w:color w:val="auto"/>
                <w:sz w:val="24"/>
                <w:szCs w:val="24"/>
                <w:highlight w:val="none"/>
                <w:lang w:eastAsia="zh-CN" w:bidi="ar"/>
              </w:rPr>
              <w:t>对该项目需求解读和重点、难点把握准确，框架结构清晰，切合项目实施地实际，综合评议。优秀得</w:t>
            </w:r>
            <w:r>
              <w:rPr>
                <w:rFonts w:hint="eastAsia" w:ascii="宋体" w:hAnsi="宋体" w:eastAsia="宋体" w:cs="宋体"/>
                <w:color w:val="auto"/>
                <w:sz w:val="24"/>
                <w:szCs w:val="24"/>
                <w:highlight w:val="none"/>
                <w:lang w:val="en-US" w:eastAsia="zh-CN" w:bidi="ar"/>
              </w:rPr>
              <w:t>3-4</w:t>
            </w:r>
            <w:r>
              <w:rPr>
                <w:rFonts w:hint="eastAsia" w:ascii="宋体" w:hAnsi="宋体" w:eastAsia="宋体" w:cs="宋体"/>
                <w:color w:val="auto"/>
                <w:sz w:val="24"/>
                <w:szCs w:val="24"/>
                <w:highlight w:val="none"/>
                <w:lang w:eastAsia="zh-CN" w:bidi="ar"/>
              </w:rPr>
              <w:t>分，良好1-</w:t>
            </w:r>
            <w:r>
              <w:rPr>
                <w:rFonts w:hint="eastAsia" w:ascii="宋体" w:hAnsi="宋体" w:eastAsia="宋体" w:cs="宋体"/>
                <w:color w:val="auto"/>
                <w:sz w:val="24"/>
                <w:szCs w:val="24"/>
                <w:highlight w:val="none"/>
                <w:lang w:val="en-US" w:eastAsia="zh-CN" w:bidi="ar"/>
              </w:rPr>
              <w:t>3</w:t>
            </w:r>
            <w:r>
              <w:rPr>
                <w:rFonts w:hint="eastAsia" w:ascii="宋体" w:hAnsi="宋体" w:eastAsia="宋体" w:cs="宋体"/>
                <w:color w:val="auto"/>
                <w:sz w:val="24"/>
                <w:szCs w:val="24"/>
                <w:highlight w:val="none"/>
                <w:lang w:eastAsia="zh-CN" w:bidi="ar"/>
              </w:rPr>
              <w:t xml:space="preserve"> 分，一般得 0-1 分；</w:t>
            </w:r>
          </w:p>
        </w:tc>
      </w:tr>
      <w:tr>
        <w:tblPrEx>
          <w:tblCellMar>
            <w:top w:w="0" w:type="dxa"/>
            <w:left w:w="0" w:type="dxa"/>
            <w:bottom w:w="0" w:type="dxa"/>
            <w:right w:w="0" w:type="dxa"/>
          </w:tblCellMar>
        </w:tblPrEx>
        <w:trPr>
          <w:trHeight w:val="978" w:hRule="atLeast"/>
          <w:jc w:val="center"/>
        </w:trPr>
        <w:tc>
          <w:tcPr>
            <w:tcW w:w="916" w:type="dxa"/>
            <w:vMerge w:val="continue"/>
            <w:tcBorders>
              <w:left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rPr>
            </w:pPr>
          </w:p>
        </w:tc>
        <w:tc>
          <w:tcPr>
            <w:tcW w:w="15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eastAsia="zh-CN" w:bidi="ar"/>
              </w:rPr>
              <w:t>科学合理、节约成本方案</w:t>
            </w:r>
          </w:p>
          <w:p>
            <w:pPr>
              <w:widowControl/>
              <w:jc w:val="center"/>
              <w:rPr>
                <w:rFonts w:hint="default" w:ascii="宋体" w:hAnsi="宋体" w:cs="宋体"/>
                <w:color w:val="000000"/>
                <w:szCs w:val="21"/>
                <w:lang w:val="en-US"/>
              </w:rPr>
            </w:pPr>
            <w:r>
              <w:rPr>
                <w:rFonts w:hint="eastAsia" w:ascii="宋体" w:hAnsi="宋体" w:eastAsia="宋体" w:cs="宋体"/>
                <w:color w:val="auto"/>
                <w:sz w:val="24"/>
                <w:szCs w:val="24"/>
                <w:highlight w:val="none"/>
                <w:lang w:val="en-US" w:eastAsia="zh-CN" w:bidi="ar"/>
              </w:rPr>
              <w:t>3分</w:t>
            </w:r>
          </w:p>
        </w:tc>
        <w:tc>
          <w:tcPr>
            <w:tcW w:w="6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top"/>
          </w:tcPr>
          <w:p>
            <w:pPr>
              <w:widowControl/>
              <w:jc w:val="left"/>
              <w:rPr>
                <w:rFonts w:asciiTheme="minorEastAsia" w:hAnsiTheme="minorEastAsia"/>
                <w:szCs w:val="21"/>
              </w:rPr>
            </w:pPr>
            <w:r>
              <w:rPr>
                <w:rFonts w:hint="eastAsia" w:ascii="宋体" w:hAnsi="宋体" w:eastAsia="宋体" w:cs="宋体"/>
                <w:color w:val="auto"/>
                <w:sz w:val="24"/>
                <w:szCs w:val="24"/>
                <w:highlight w:val="none"/>
                <w:lang w:eastAsia="zh-CN" w:bidi="ar"/>
              </w:rPr>
              <w:t>根据设计和现场地质条件编制科学合理、节约成本的技术方案，切实可行、具有可操作性，优秀得 3-</w:t>
            </w:r>
            <w:r>
              <w:rPr>
                <w:rFonts w:hint="eastAsia" w:ascii="宋体" w:hAnsi="宋体" w:eastAsia="宋体" w:cs="宋体"/>
                <w:color w:val="auto"/>
                <w:sz w:val="24"/>
                <w:szCs w:val="24"/>
                <w:highlight w:val="none"/>
                <w:lang w:val="en-US" w:eastAsia="zh-CN" w:bidi="ar"/>
              </w:rPr>
              <w:t>2</w:t>
            </w:r>
            <w:r>
              <w:rPr>
                <w:rFonts w:hint="eastAsia" w:ascii="宋体" w:hAnsi="宋体" w:eastAsia="宋体" w:cs="宋体"/>
                <w:color w:val="auto"/>
                <w:sz w:val="24"/>
                <w:szCs w:val="24"/>
                <w:highlight w:val="none"/>
                <w:lang w:eastAsia="zh-CN" w:bidi="ar"/>
              </w:rPr>
              <w:t xml:space="preserve">分，良好得 1-2 分，一般得 0-1 分； </w:t>
            </w:r>
          </w:p>
        </w:tc>
      </w:tr>
      <w:tr>
        <w:tblPrEx>
          <w:tblCellMar>
            <w:top w:w="0" w:type="dxa"/>
            <w:left w:w="0" w:type="dxa"/>
            <w:bottom w:w="0" w:type="dxa"/>
            <w:right w:w="0" w:type="dxa"/>
          </w:tblCellMar>
        </w:tblPrEx>
        <w:trPr>
          <w:trHeight w:val="1024" w:hRule="atLeast"/>
          <w:jc w:val="center"/>
        </w:trPr>
        <w:tc>
          <w:tcPr>
            <w:tcW w:w="916" w:type="dxa"/>
            <w:vMerge w:val="continue"/>
            <w:tcBorders>
              <w:left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rPr>
            </w:pPr>
          </w:p>
        </w:tc>
        <w:tc>
          <w:tcPr>
            <w:tcW w:w="15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hint="default" w:ascii="宋体" w:hAnsi="宋体"/>
                <w:color w:val="000000"/>
                <w:szCs w:val="21"/>
                <w:lang w:val="en-US"/>
              </w:rPr>
            </w:pPr>
            <w:r>
              <w:rPr>
                <w:rFonts w:hint="eastAsia" w:ascii="宋体" w:hAnsi="宋体" w:eastAsia="宋体" w:cs="宋体"/>
                <w:color w:val="auto"/>
                <w:sz w:val="24"/>
                <w:szCs w:val="24"/>
                <w:highlight w:val="none"/>
                <w:lang w:eastAsia="zh-CN" w:bidi="ar"/>
              </w:rPr>
              <w:t>专业技术方案</w:t>
            </w:r>
            <w:r>
              <w:rPr>
                <w:rFonts w:hint="eastAsia" w:ascii="宋体" w:hAnsi="宋体" w:eastAsia="宋体" w:cs="宋体"/>
                <w:color w:val="auto"/>
                <w:sz w:val="24"/>
                <w:szCs w:val="24"/>
                <w:highlight w:val="none"/>
                <w:lang w:val="en-US" w:eastAsia="zh-CN" w:bidi="ar"/>
              </w:rPr>
              <w:t>3分</w:t>
            </w:r>
          </w:p>
        </w:tc>
        <w:tc>
          <w:tcPr>
            <w:tcW w:w="6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top"/>
          </w:tcPr>
          <w:p>
            <w:pPr>
              <w:widowControl/>
              <w:jc w:val="both"/>
              <w:rPr>
                <w:rFonts w:asciiTheme="minorEastAsia" w:hAnsiTheme="minorEastAsia"/>
                <w:szCs w:val="21"/>
              </w:rPr>
            </w:pPr>
            <w:r>
              <w:rPr>
                <w:rFonts w:hint="eastAsia" w:ascii="宋体" w:hAnsi="宋体" w:eastAsia="宋体" w:cs="宋体"/>
                <w:color w:val="auto"/>
                <w:sz w:val="24"/>
                <w:szCs w:val="24"/>
                <w:highlight w:val="none"/>
                <w:lang w:eastAsia="zh-CN" w:bidi="ar"/>
              </w:rPr>
              <w:t>针对熔洞技术实施方案，方案具有科学性、可操作性、安全性等，优秀得 3-</w:t>
            </w:r>
            <w:r>
              <w:rPr>
                <w:rFonts w:hint="eastAsia" w:ascii="宋体" w:hAnsi="宋体" w:eastAsia="宋体" w:cs="宋体"/>
                <w:color w:val="auto"/>
                <w:sz w:val="24"/>
                <w:szCs w:val="24"/>
                <w:highlight w:val="none"/>
                <w:lang w:val="en-US" w:eastAsia="zh-CN" w:bidi="ar"/>
              </w:rPr>
              <w:t>2</w:t>
            </w:r>
            <w:r>
              <w:rPr>
                <w:rFonts w:hint="eastAsia" w:ascii="宋体" w:hAnsi="宋体" w:eastAsia="宋体" w:cs="宋体"/>
                <w:color w:val="auto"/>
                <w:sz w:val="24"/>
                <w:szCs w:val="24"/>
                <w:highlight w:val="none"/>
                <w:lang w:eastAsia="zh-CN" w:bidi="ar"/>
              </w:rPr>
              <w:t xml:space="preserve">分，良好得 1-2 分，一般得 0-1 分 </w:t>
            </w:r>
          </w:p>
        </w:tc>
      </w:tr>
      <w:tr>
        <w:tblPrEx>
          <w:tblCellMar>
            <w:top w:w="0" w:type="dxa"/>
            <w:left w:w="0" w:type="dxa"/>
            <w:bottom w:w="0" w:type="dxa"/>
            <w:right w:w="0" w:type="dxa"/>
          </w:tblCellMar>
        </w:tblPrEx>
        <w:trPr>
          <w:trHeight w:val="743" w:hRule="atLeast"/>
          <w:jc w:val="center"/>
        </w:trPr>
        <w:tc>
          <w:tcPr>
            <w:tcW w:w="916" w:type="dxa"/>
            <w:vMerge w:val="continue"/>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rPr>
            </w:pPr>
          </w:p>
        </w:tc>
        <w:tc>
          <w:tcPr>
            <w:tcW w:w="1560" w:type="dxa"/>
            <w:tcBorders>
              <w:top w:val="single" w:color="auto"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eastAsia="zh-CN" w:bidi="ar"/>
              </w:rPr>
              <w:t>项目组织及实施计划</w:t>
            </w:r>
          </w:p>
          <w:p>
            <w:pPr>
              <w:widowControl/>
              <w:jc w:val="center"/>
              <w:rPr>
                <w:rFonts w:hint="default" w:ascii="宋体" w:hAnsi="宋体"/>
                <w:color w:val="000000"/>
                <w:szCs w:val="21"/>
                <w:lang w:val="en-US"/>
              </w:rPr>
            </w:pPr>
            <w:r>
              <w:rPr>
                <w:rFonts w:hint="eastAsia" w:ascii="宋体" w:hAnsi="宋体" w:eastAsia="宋体" w:cs="宋体"/>
                <w:color w:val="auto"/>
                <w:sz w:val="24"/>
                <w:szCs w:val="24"/>
                <w:highlight w:val="none"/>
                <w:lang w:val="en-US" w:eastAsia="zh-CN" w:bidi="ar"/>
              </w:rPr>
              <w:t>3分</w:t>
            </w:r>
          </w:p>
        </w:tc>
        <w:tc>
          <w:tcPr>
            <w:tcW w:w="6749" w:type="dxa"/>
            <w:tcBorders>
              <w:top w:val="single" w:color="auto" w:sz="4" w:space="0"/>
              <w:left w:val="single" w:color="000000" w:sz="4" w:space="0"/>
              <w:bottom w:val="single" w:color="000000" w:sz="4" w:space="0"/>
              <w:right w:val="single" w:color="000000" w:sz="4" w:space="0"/>
            </w:tcBorders>
            <w:tcMar>
              <w:top w:w="0" w:type="dxa"/>
              <w:left w:w="108" w:type="dxa"/>
              <w:bottom w:w="0" w:type="dxa"/>
              <w:right w:w="108" w:type="dxa"/>
            </w:tcMar>
            <w:vAlign w:val="top"/>
          </w:tcPr>
          <w:p>
            <w:pPr>
              <w:widowControl/>
              <w:jc w:val="left"/>
              <w:rPr>
                <w:rFonts w:asciiTheme="minorEastAsia" w:hAnsiTheme="minorEastAsia"/>
                <w:szCs w:val="21"/>
              </w:rPr>
            </w:pPr>
            <w:r>
              <w:rPr>
                <w:rFonts w:hint="eastAsia" w:ascii="宋体" w:hAnsi="宋体" w:eastAsia="宋体" w:cs="宋体"/>
                <w:color w:val="auto"/>
                <w:sz w:val="24"/>
                <w:szCs w:val="24"/>
                <w:highlight w:val="none"/>
                <w:lang w:eastAsia="zh-CN" w:bidi="ar"/>
              </w:rPr>
              <w:t>项目组织及实施计划安排合理、完善，进度安排及时间点控制合理、准确，优秀得 3-</w:t>
            </w:r>
            <w:r>
              <w:rPr>
                <w:rFonts w:hint="eastAsia" w:ascii="宋体" w:hAnsi="宋体" w:eastAsia="宋体" w:cs="宋体"/>
                <w:color w:val="auto"/>
                <w:sz w:val="24"/>
                <w:szCs w:val="24"/>
                <w:highlight w:val="none"/>
                <w:lang w:val="en-US" w:eastAsia="zh-CN" w:bidi="ar"/>
              </w:rPr>
              <w:t>2</w:t>
            </w:r>
            <w:r>
              <w:rPr>
                <w:rFonts w:hint="eastAsia" w:ascii="宋体" w:hAnsi="宋体" w:eastAsia="宋体" w:cs="宋体"/>
                <w:color w:val="auto"/>
                <w:sz w:val="24"/>
                <w:szCs w:val="24"/>
                <w:highlight w:val="none"/>
                <w:lang w:eastAsia="zh-CN" w:bidi="ar"/>
              </w:rPr>
              <w:t>分，良好得 1-2 分，一般得 0-1 分；</w:t>
            </w:r>
            <w:r>
              <w:rPr>
                <w:rFonts w:ascii="宋体" w:hAnsi="宋体" w:eastAsia="宋体" w:cs="宋体"/>
                <w:color w:val="auto"/>
                <w:sz w:val="24"/>
                <w:szCs w:val="24"/>
                <w:highlight w:val="none"/>
                <w:lang w:eastAsia="zh-CN" w:bidi="ar"/>
              </w:rPr>
              <w:t xml:space="preserve"> </w:t>
            </w:r>
          </w:p>
        </w:tc>
      </w:tr>
    </w:tbl>
    <w:p>
      <w:pPr>
        <w:spacing w:line="360" w:lineRule="auto"/>
        <w:ind w:firstLine="420" w:firstLineChars="200"/>
        <w:jc w:val="left"/>
        <w:rPr>
          <w:rFonts w:asciiTheme="minorEastAsia" w:hAnsiTheme="minorEastAsia"/>
          <w:szCs w:val="21"/>
        </w:rPr>
      </w:pPr>
      <w:r>
        <w:rPr>
          <w:rFonts w:hint="eastAsia" w:asciiTheme="minorEastAsia" w:hAnsiTheme="minorEastAsia"/>
          <w:szCs w:val="21"/>
        </w:rPr>
        <w:t xml:space="preserve">二、计分方法 </w:t>
      </w:r>
    </w:p>
    <w:p>
      <w:pPr>
        <w:spacing w:line="360" w:lineRule="auto"/>
        <w:ind w:firstLine="420" w:firstLineChars="200"/>
        <w:jc w:val="left"/>
        <w:rPr>
          <w:rFonts w:asciiTheme="minorEastAsia" w:hAnsiTheme="minorEastAsia"/>
          <w:szCs w:val="21"/>
        </w:rPr>
      </w:pPr>
      <w:bookmarkStart w:id="0" w:name="_Toc17050"/>
      <w:bookmarkStart w:id="1" w:name="_Toc13053"/>
      <w:r>
        <w:rPr>
          <w:rFonts w:hint="eastAsia" w:asciiTheme="minorEastAsia" w:hAnsiTheme="minorEastAsia"/>
          <w:szCs w:val="21"/>
        </w:rPr>
        <w:t>3.1 评标委员会成员按照招标文件和本细则上述有关规定，给投标人综合评审，独立打分；</w:t>
      </w:r>
      <w:bookmarkEnd w:id="0"/>
      <w:bookmarkEnd w:id="1"/>
      <w:r>
        <w:rPr>
          <w:rFonts w:hint="eastAsia" w:asciiTheme="minorEastAsia" w:hAnsiTheme="minorEastAsia"/>
          <w:szCs w:val="21"/>
        </w:rPr>
        <w:t xml:space="preserve"> </w:t>
      </w:r>
    </w:p>
    <w:p>
      <w:pPr>
        <w:spacing w:line="360" w:lineRule="auto"/>
        <w:ind w:firstLine="420" w:firstLineChars="200"/>
        <w:jc w:val="left"/>
        <w:rPr>
          <w:rFonts w:asciiTheme="minorEastAsia" w:hAnsiTheme="minorEastAsia"/>
          <w:szCs w:val="21"/>
        </w:rPr>
      </w:pPr>
      <w:bookmarkStart w:id="2" w:name="_Toc18166"/>
      <w:bookmarkStart w:id="3" w:name="_Toc21677"/>
      <w:r>
        <w:rPr>
          <w:rFonts w:hint="eastAsia" w:asciiTheme="minorEastAsia" w:hAnsiTheme="minorEastAsia"/>
          <w:szCs w:val="21"/>
        </w:rPr>
        <w:t>3.2 各投标人的最终得分为各评委所评定分数的算术平均值；</w:t>
      </w:r>
      <w:bookmarkEnd w:id="2"/>
      <w:bookmarkEnd w:id="3"/>
      <w:r>
        <w:rPr>
          <w:rFonts w:hint="eastAsia" w:asciiTheme="minorEastAsia" w:hAnsiTheme="minorEastAsia"/>
          <w:szCs w:val="21"/>
        </w:rPr>
        <w:t xml:space="preserve"> </w:t>
      </w:r>
    </w:p>
    <w:p>
      <w:pPr>
        <w:spacing w:line="360" w:lineRule="auto"/>
        <w:ind w:firstLine="420" w:firstLineChars="200"/>
        <w:jc w:val="left"/>
        <w:rPr>
          <w:rFonts w:asciiTheme="minorEastAsia" w:hAnsiTheme="minorEastAsia"/>
          <w:szCs w:val="21"/>
        </w:rPr>
      </w:pPr>
      <w:bookmarkStart w:id="4" w:name="_Toc7843"/>
      <w:bookmarkStart w:id="5" w:name="_Toc29019"/>
      <w:r>
        <w:rPr>
          <w:rFonts w:hint="eastAsia" w:asciiTheme="minorEastAsia" w:hAnsiTheme="minorEastAsia"/>
          <w:szCs w:val="21"/>
        </w:rPr>
        <w:t>3.3 各项统计、评分结果均按四舍五入方法精确到小数点后两位；</w:t>
      </w:r>
      <w:bookmarkEnd w:id="4"/>
      <w:bookmarkEnd w:id="5"/>
      <w:r>
        <w:rPr>
          <w:rFonts w:hint="eastAsia" w:asciiTheme="minorEastAsia" w:hAnsiTheme="minorEastAsia"/>
          <w:szCs w:val="21"/>
        </w:rPr>
        <w:t xml:space="preserve"> </w:t>
      </w:r>
      <w:bookmarkStart w:id="6" w:name="_Toc17319"/>
      <w:bookmarkStart w:id="7" w:name="_Toc26608"/>
    </w:p>
    <w:p>
      <w:pPr>
        <w:spacing w:line="360" w:lineRule="auto"/>
        <w:ind w:firstLine="420" w:firstLineChars="200"/>
        <w:jc w:val="left"/>
        <w:rPr>
          <w:rFonts w:asciiTheme="minorEastAsia" w:hAnsiTheme="minorEastAsia"/>
          <w:szCs w:val="21"/>
        </w:rPr>
      </w:pPr>
      <w:r>
        <w:rPr>
          <w:rFonts w:hint="eastAsia" w:asciiTheme="minorEastAsia" w:hAnsiTheme="minorEastAsia"/>
          <w:szCs w:val="21"/>
        </w:rPr>
        <w:t>3.4 评标完成后，评标委员会应当根据综合评分情况，按照评审得分由高到低顺序推荐3名中标候选人，并编写评标报告。评审得分相同的，按照最后报价由低到高的顺序推</w:t>
      </w:r>
      <w:bookmarkEnd w:id="6"/>
      <w:bookmarkEnd w:id="7"/>
      <w:bookmarkStart w:id="8" w:name="_Toc3669"/>
      <w:bookmarkStart w:id="9" w:name="_Toc23575"/>
      <w:r>
        <w:rPr>
          <w:rFonts w:hint="eastAsia" w:asciiTheme="minorEastAsia" w:hAnsiTheme="minorEastAsia"/>
          <w:szCs w:val="21"/>
        </w:rPr>
        <w:t>荐。评审得分且最后报价相同的，按照技术指标优劣顺序推荐。</w:t>
      </w:r>
      <w:bookmarkEnd w:id="8"/>
      <w:bookmarkEnd w:id="9"/>
    </w:p>
    <w:p>
      <w:pPr>
        <w:jc w:val="center"/>
        <w:rPr>
          <w:b/>
          <w:bCs/>
          <w:szCs w:val="21"/>
        </w:rPr>
      </w:pPr>
    </w:p>
    <w:p>
      <w:pPr>
        <w:rPr>
          <w:b/>
          <w:bCs/>
          <w:szCs w:val="21"/>
        </w:rPr>
      </w:pPr>
      <w:r>
        <w:rPr>
          <w:rFonts w:hint="eastAsia"/>
          <w:b/>
          <w:bCs/>
          <w:szCs w:val="21"/>
        </w:rPr>
        <w:br w:type="page"/>
      </w:r>
    </w:p>
    <w:p>
      <w:pPr>
        <w:spacing w:line="240" w:lineRule="auto"/>
        <w:jc w:val="center"/>
        <w:rPr>
          <w:rFonts w:hint="default" w:eastAsiaTheme="minorEastAsia"/>
          <w:sz w:val="24"/>
          <w:szCs w:val="24"/>
          <w:lang w:val="en-US" w:eastAsia="zh-CN"/>
        </w:rPr>
      </w:pPr>
      <w:r>
        <w:rPr>
          <w:rFonts w:hint="eastAsia"/>
          <w:b/>
          <w:bCs/>
          <w:sz w:val="24"/>
          <w:szCs w:val="24"/>
          <w:lang w:val="en-US" w:eastAsia="zh-CN"/>
        </w:rPr>
        <w:t>技术要求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eastAsiaTheme="minorEastAsia"/>
          <w:sz w:val="24"/>
          <w:szCs w:val="24"/>
          <w:lang w:val="en-US" w:eastAsia="zh-CN"/>
        </w:rPr>
      </w:pPr>
      <w:r>
        <w:rPr>
          <w:rFonts w:hint="eastAsia"/>
          <w:sz w:val="24"/>
          <w:szCs w:val="24"/>
          <w:lang w:val="en-US" w:eastAsia="zh-CN"/>
        </w:rPr>
        <w:t>一、地勘技术要求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1勘察目的和任务</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本次工程地质勘察的主要目的是研究全线地形、地貌、岩性、地质构造、不良地质、水文气象、地震等工程地质条件及其与工程的关系，并作出评价；明确本项目的工程地质勘察重点，有针对性的进行工程地质勘察工作，为确定路线方案、工程构造物的位置和编制设计文件等提供准确、完整的工程地质资料。</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根据规范和设计要求，本次勘察的主要任务有：</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1、根据本项目设计需要进一步查明建筑场地地层分布、地层层序、地质年代、岩层产状、岩层接触关系、构造特征、地层物理、力学性质、以及地貌特征。</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2、查明构造物地基的地质结构、工程地质及水文地质条件，准确提供工程和基础设计、施工必需的地质参数，与路基工程有关的地表水和地下水应做水质分析和简易水文地质试验，评价地下水、地表水的腐蚀性。</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3、对工程地质、水文地质复杂地段，特殊地段或对施工有特殊要求区段，确定其分布范围、性质，提供防治设计必需的地质资料和地质参数，并提出评价处理方案。</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4、判定场地和地基的地震效应，地震效应按《公路工程抗震设计规范》有关规定进行勘察与评价。</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5、对于不良地质路段应结合地勘成果做针对性分析评价，并对设计提出合理建议。</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6、对项目沿线筑路材料料场进行勘察并为设计及施工提供合理有效的建议。</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2一般规定</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1、道路工程地质勘察工作，必须遵循下列规程、规范中有关要求执行：</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《公路工程地质勘察规范》（JTG C20—2011）</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《市政工程勘察规范》（CJJ 56-2012）</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《岩土工程勘察规范》（GB 50021-2001）（2009年版）</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《水文基本术语和符合标准》（GB/T 50095-98）</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《土工试验方法标准》（GB/T 50123-1999）</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《公路土工试验规程》（JTGE40—2007）</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《土的分类标准》（GBJ 145-90）</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《工程岩体分级标准》（GB 50218-2014）</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《工程岩体试验方法标准》（GB/T 50266-2013）</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《岩土工程基本术语标准》（GB/T 50279-2014）</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《城市勘察物探规范》（CJJ 7-2007）</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《公路路基设计规范》（JTG D30-2015）</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《公路桥涵地基与基础设计规范》(JTG 3363-2019)</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2、本规定适用于贵阳市观谭大道道路工程地质勘察工作。</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3、工程地质勘察应包括路线工程地质勘察、路基路面工程地质勘察、城市管道工程地质勘查、桥梁涵洞工程地质勘察、天然筑路材料工程地质勘察。</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4、工程地质勘察工作，应按准备工作、调查测绘、地质勘探、土工试验、资料整理等顺序进行。</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5、对各项工程地质勘察成果，应逐级进行检查，经技术负责人签署后，方可提交设计使用。</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3准备工作</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工程地质勘察单位应根据勘察任务的要求，配备必要的专业人员，收集各行业已有的有关资料，进行认真分析研究，了解现场情况。针对本区勘察重点，制订出详细的勘察工作计划。同时做好人员调配，设备检修等准备工作。</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4详勘工作要求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本详勘布孔原则为：桥梁桩基实施一墩一孔的地质勘察，勘探工作内容主要包含道路、桥梁、管线等。</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本工程勘探布点桥梁若在溶洞范围内则应开展施工勘察，以便尽可能地摸清各墩、台基础处的地质情况。具体施工勘察方案待详勘结果出具后另行拟定。</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道路一般路段纵向钻孔为浅孔，钻孔深度应满足道路及管线铺设要求，考虑特殊情况可适当加布静力触探孔，在钻探过程中发现地层突变且差距较大时，加密钻孔，间距40m。</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5地质调绘</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工程地质调查测绘沿路线两侧各150米带状范围内进行。如果有特殊工程地质问题需要扩大调查测绘范围时,应扩大调查测绘范围。地质调绘精度应满足《公路工程地质勘察规程》（JTG C20－2011）的要求。初勘阶段工程地质调查测绘比例为1:2000，详勘阶段工程地质调查测绘比例为1:500（只针对隧道进出口、滑坡等工点）。</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（1）不良地质</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A、滑坡</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重点进行以下工作：</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①地貌调绘：调绘由滑坡活动引起的或可能引起的地面变形、破坏的范围。</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②工程地质调绘：收集有关大地构造、新构造运动、地壳应力场及地震资料，滑坡地区地层、岩性，地质构造与节理裂隙发育、分布规律。调查范围应包括滑坡体及其周边稳定地段。</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③水文地质调查：收集区域水文地质资料，调绘地下水露头的分布及发展变化规律，含水层出露与埋藏条件及水文地质特征。</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④调查滑坡活动历史。</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⑤收集气象水文资料。</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B、崩塌与岩堆</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①地貌调绘，调绘岩壁形态、规模、新近崩塌情况、落石规模及其运动方式，岩堆分布范围、形状、各部位的成份及坡度变化、稳定情况等。</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②工程地质调绘：收集地质构造及地震资料，调查陡崖地层岩性、风化程度、地质构造、节理裂隙发育情况、地下水发育特征。调绘范围至崩塌岩堆周界以外40m。</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③调查崩塌与岩堆发育活动历史。</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④ 气象、水文调查。</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C、软土</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本阶段重点是查明路线走向范围内可能布置路线的区间内的软土路段的地形、地貌及第四系地层的沉积关系，查明其成因类型、分布范围、深度、形态、基底性质、各土层的含水情况、土颗粒组成，查明土的物理、力学性能与水理性质，按地震烈度划分相关路段范围，研究分析其危害程度，为优选路线方案提供依据。勘察范围视地质情况复杂程度和设计需要而定。</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6地质勘探</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1、一般地质勘探</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本项目一般地质勘探主要为钻孔。</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1）、布孔位置：钻孔位置须满足设计需要，由勘察单位负责现场测量放样及孔口高程测量。孔口平面位置误差0.5米，孔口高程误差0.05米。孔位确不能到位时，偏差路线前后不超过3米，左右不超过2米。当受地形、地物条件限制，布孔仍有困难时，须取得设计单位同意后方可移位。孔位变动后，须测量孔位坐标及孔口高程计入相关地质勘察记录薄。</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2）、终孔：钻孔过程中应由现场技术负责人根据钻孔的技术要求，结合地质情况判定，并经其签字后方可终孔。在钻进过程中，当发现地质情况异常，现场技术负责人认为需要加深钻孔时，应及时报告设计单位，决定是否加深钻孔。</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（3）、一般终孔原则如下：</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1）桥梁：</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①、设计单位所提供的孔深仅为预计深度，实际勘探时，钻探深度原则上应钻入中风化岩层8～10m或微风化岩层5～7m，若遇破碎带，应穿过，并继续钻入5～7m；</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②、桥址区钻孔岩层极破碎或有断层破碎带岩石，风化程度较严重时，钻入破碎岩层30～50m或钻穿该破碎带5~7m。</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③、当基岩埋置深度超过50米时，钻探单位应及时将各土层力学指标反馈设计单位，由设计单位根据桩顶反力及所提供的力学指标按摩擦桩计算桩基长度后确定终孔深度。</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2）软土路基</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设计单位所提供的孔深仅为预计深度。实际勘探时，钻孔须钻入硬土层或岩层中并须满足沉降计算的要求，即当压缩层较薄时，钻穿压缩层，当压缩层较厚时，应钻至附加应力与软土自重应力比例为0.15～0.2时的相应深度；静探孔深度须达到软土分布的底层，最终触探深度以进入较坚硬土层0.5～1.0米为原则控制。</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（4）、岩石风化程度按“桥规”规定划分为：全风化、强风化、中风化、微风化四级。</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（5）、路基土的分类应按现行《土的分类标准》（GBJ 145-90）及《公路土工试验规程》（JTGE40—2007）执行。</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（6）、钻孔取样及地下水位测量</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全部钻孔均应采取土试样。管线排水钻孔取土试样和进行原位测试的勘探孔数量（不包括路基兼管线孔）不应少于勘探孔总数的二分之一。管线排水孔与路基孔重合的孔按照路基孔的技术要求执行，同时兼顾管线排水孔的技术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1)、取原状土样，必须用原状取土器（软土层须用薄壁取土器）取样。禁止使用标准贯入仪套环刀取样或用一般岩芯管旋取岩芯代替原状样。取样操作要求如下：</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①、在钻进过程中宜采用泥浆护壁。当使用套管时，应保持孔内水位等于或稍高于地下水位，取样位置应低于套管底部1米。</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②、钻孔要求采用岩芯管回转钻进。当采用冲洗、冲击、振动等方式钻进时，应在预计取样位置以上1米改用回转钻进。</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③、放下取土器前，应仔细清孔。孔底残留浮土厚度不应大于取土器废土段长度。放下取土器时，不得冲击孔底。</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④、采取土样宜用快速静力连续压入法。当采用重锤少击方式采取土样时，应有导向装置，避免锤击时晃动。</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2)、取软土原状土样，必须用薄壁固定活塞取土器采取Ⅰ级土样。土样内径不小于75mm，土样筒壁厚不大于2mm，取样长度一般大于80cm。取土器贯入必须采用匀速静压法，尽量避免土样的扰动。</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3)、取出的原状土样必须立即蜡封，并尽快送试验室试验。</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4)、取土试样的竖向间距应在原地面或设计标高以下15m内，取样间距为1.5～2m，其下可适当放宽。砂、砾、卵石层、难取原状土样的砂、卵层取扰动样。弱风化岩、微风化岩岩芯，每孔须选取代表性岩石样1～3组送试验室试验，每组岩芯应能制作5～7cm立方体试件3块。不得漏样，否则移孔补钻补取土样。</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5)、岩芯采取率：强风化层应大于50%，弱风化层及粘性土层应大于85%。</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6)、岩芯保存：选择有代表性的钻孔保存全部岩芯，应按地层上、下顺序，编号整理装箱，填写卡片、登记表等交甲方指定地点保存；所有钻孔均应拍摄彩色照片附入地质报告中。</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7)、每间隔150～300m，必须实测地下水位，地下水位测量应测量24小时后钻孔内地下水稳定水位。</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2、原位测试</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1）、标准贯入试验</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(1)、砂、砂土、粘性土层必须进行标准贯入试验，以确定其密实度等物理力学指标，试验间隔1.5～2米。全、强风化层也必须进行标准贯入试验，以确定其密实度等物理力学指标，并作为判别岩石风化程度的指标之一，试验间隔2～2.5米。</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(2)、自由落锤重63.5kg，落距76cm，贯入量30cm。贯入击数应进行修正。</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(3)、饱和砂土液化判别孔标贯试验间距为1～1.5m，液化鉴定时击数不作修正。</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2）、动力触探，对砂砾卵石可进行动力触探试验，试验间距按规范要求进行，以确定其密实度等物理力学指标。</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3）、静力触探</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(1)、布孔位置：静力触探孔应根据设计需要确定是否布设，勘察单位负责现场测量放样及孔口高程测量。孔口平面位置误差0.5米，孔口高程误差0.05米。</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(2)、静力触探应采用双桥触探仪，投影面积为10cm2，摩擦筒侧壁面积为150～200cm2。</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(3)、触探深度：设计单位根据设计需要先提出预估深度钻穿软土层，最终触探深度以进入较坚硬土层0.5～1.0米为原则控制。</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(4)、计算公式宜采用当地经验公式，并结合当地经验综合确定岩土物理力字性质。</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4）、十字板原位测试</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(1)、布孔位置：为测定软土层在不排水状态下的抗剪强度指标，应在每个具有代表性的地质路段沿深度方向对地基稳定性有一定影响的软土层测定，每一深度测一组（两个）以上剪切指标。由设计单位根据设计需要提出十字板测试位置，勘察单位负责现场测量放样及孔口高程测量。孔口平面位置误差0.5米，孔口高程误差0.05米。</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(2)、测试深度：设计单位根据设计需要先提出预估深度（一般10～20米）。实施时，能测试到预估深度，则测试到预估深度；测试到预估深度有困难时，经现场技术负责人同意，可以实际测试深度终孔。</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(3)、宜采用钻孔电测法，钻杆应平直并配备导向装置，以减轻十字板插入土中时的偏斜，且深层试验套管不应短于5米。</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(4)、当采用无钻孔电测十字板时，试验深度不宜超过10米。</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7土工试验及应提供的测试试验成果</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1、钻孔全部为技术孔，按规范规定进行相关土工试验。路基孔均做自由膨胀率实验。对于深路堑，当土层为高液限或膨胀土时，需做饱和剪试验。</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2、基本物理性试验及应提供的测试试验成果：天然含水量（w0）、天然密度（0）、干密度（d）、孔隙比（e）、比重（）、饱和度（Sr）、塑限（搓条法）（WP）、液限（76克锥）（WL）、塑性指数（IP）、液性指数（IL）、颗粒分析（砂、砾用筛分法，粉、粘性土用比重计法或移液管法）、土名（按“桥规”岩土分类法定名）。</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3、基本力学性试验及应提供的测试试验成果：不固结不排水剪（直剪仪法）（Cu、u）、无侧限抗压强度（qu）、土层容许承载力（0）、土层极限摩擦阻力（）。</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4、基本压缩性试验及应提供的测试试验成果：压缩系数（a1～2）、压缩模量（E1～2）、固结系数（100kPa荷载）（Cv）。</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5、软土地基钻孔应增加下列试验并提供试验结果以便软基稳定性分析计算：重度、饱和重度、快剪内聚力Cq值（Kpa）、快剪内摩擦角q值（度）、有效内聚力C´值（Kpa）、有效内摩擦角´值（度）、固结快剪内聚力Cg值（Kpa，选取典型的做几组）、固结快剪内摩擦角g值（度，选取典型的做几组  ）、十字板剪切值、竖向固结系数Cv（cm2/s）、水平固结系数Gh（cm2/s）、前期固结压力Pc（kpa）、回弹指数Cs（回弹试验应在p’c前后开始）、压力试验级数（每一层所采用的压力KPa、孔隙比、压缩系数）、次固结系数CB、体积压缩系数（m2/KN）、压缩指数Cc（固结试验采用25、50、75、100、150、200、400、800、1600、3200kPa的加荷级）（Cc）、渗透系数(K)、土工试验压缩及颗粒分析曲线图、有机质含量（尽量多做）、易溶盐含量。</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6、岩石地基钻孔应按不同岩性、不同风化程度等，选1～2组试样，增加天然湿度单轴抗压强度试验、饱水单轴抗压强度试验、吸水率等试验。</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7、选取有代表性地下水、地表水样做水质分析试验，判定水的腐蚀性，提出预防及处理措施；岩溶路段为查明岩溶富水性和涌水量，必要时应对岩溶含水带作抽水试验；为查明地下洞穴连通情况及地下水之间的水力联系，应作连通试验。</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8、静力触探应提供：锥尖阻力（qc）、侧摩阻力特征值(qsi)、侧壁摩阻力（fs）、摩阻比（Rf）、压缩模量（Es）、不排水抗剪强度（Cu）、土层承载力特征值（qp），天然土层容许承载力（0）、土层极限摩擦阻力（）。</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9、十字板原位测试应提供：不排水抗剪强度（Cu）。</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10、剪切试验必须提供原始P～S或～曲线、无侧限抗压强度试验应提供P～曲线、固结试验必须提供e～P、e～lgP曲线、静力触探必须提供深度与Rf、fs、qc关系曲线、十字板剪切必须提供深度与不排水抗剪强度关系曲线等。</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11、液化土试验判定依据、结果、及处理建议。</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12、对拟采用明挖施工方案的深埋管道及工作竖井，并提供基坑边坡稳定性计算参数及基坑支护设计参数；</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8资料整理</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1、资料整理的主要任务是在工程地质勘察过程中，及时整理和分析各项资料；在外业工作结束后，进行全面、系统地整理和综合分析，找出它们之间的内在联系和规律性，对工程建筑区的工程地质条件和问题作出正确的评价，为道路工程建设提供可靠的地质成果。</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2、土工试验资料整理应根据勘探及试验成果将岩土分层，将各土层的各项物理力学指标汇总，进行分析整理。对每项指标应去掉不合理值后，最后统计出该指标的范围值、算术平均值、均方差、样本数、变异系数。</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3、须整理出关系曲线的指标，应整理出关系曲线，或回归方程。</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4、各项原始记录，必须做到真实、整齐、清晰、完整。</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9工程地质勘察报告编写</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工程地质勘察报告内容应按《公路工程地质勘察规范》（JTG C20－2011）及《市政工程勘察规范》（CJJ 56-2012）的规定执行。</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工程地质报告的内容，应根据任务要求、勘察阶段、地质条件和工程特点等具体情况确定，主要包括以下内容：</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a 、勘察目的、要求和任务。 勘察方法和勘察工作布置。</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b、场地地形、地貌、地层、地质构造、岩土性质、地下水和不良地质现象的描述与分析评价。</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c、岩土物理力学参数的分析与选用。</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d、新构造运动与地震烈度。特别是砂土液化、淤泥震陷等不良地质现象作出评价。</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e、 场地工程地质条件评价及岩土利用、整治和改造方案。</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f、工程施工和使用期间可能发生的工程地质问题的预测及监测和预防措施的建议。</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g、桥梁、互通、立交桥、挡土墙、软土地基、深路堑、取土坑等分项工程的工程地质勘探应分项写出分项工程地质勘探报告。其组成内容为：分项工程区地貌、地形、水文地质、地震、地层岩性、地质构造、不良地质现象、结论与建议等。</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h、桥位处除需提供桥位地质纵断面图外，还应对横向地形或地质变化较大的墩台处提供墩台地质横剖面图。</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10注意事项</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1、工程地质勘察报告应按照《公路工程地质勘察规范》（JTG C20－2011）及《市政工程勘察规范》（CJJ 56-2012）相应勘察阶段进行编写，若有调整应征得设计单位同意。</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2、地勘工作开始之前，地勘单位须同业主及沿线相关单位及部门进行沟通，以免在地勘工作中破坏有关地下管线。</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3、勘察报告附表、附图及原始资料，均应根据本项目实际情况，结合相应规范进行完善，不得遗漏。</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4、提供地质报告的同时应提供电子文件。</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5、地勘工作中及时与设计单位保持联系，有问题及时沟通。</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 w:val="24"/>
          <w:szCs w:val="24"/>
        </w:rPr>
      </w:pPr>
      <w:r>
        <w:rPr>
          <w:rFonts w:hint="eastAsia"/>
          <w:sz w:val="24"/>
          <w:szCs w:val="24"/>
        </w:rPr>
        <w:t>6、本要求未尽事宜，按照《公路工程地质勘察规范》（JTG C20－2011）及《市政工程勘察规范》（CJJ 56-2012）等相关规范执行。</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szCs w:val="21"/>
        </w:rPr>
      </w:pPr>
      <w:r>
        <w:rPr>
          <w:rFonts w:hint="eastAsia"/>
          <w:sz w:val="24"/>
          <w:szCs w:val="24"/>
        </w:rPr>
        <w:t>7、岩溶的路段是否做专项物探，地勘单位要结合钻探成果提出合理化建议，查明岩溶情况。</w:t>
      </w:r>
    </w:p>
    <w:p>
      <w:pPr>
        <w:rPr>
          <w:rFonts w:hint="eastAsia"/>
          <w:szCs w:val="21"/>
        </w:rPr>
      </w:pPr>
      <w:r>
        <w:rPr>
          <w:rFonts w:hint="eastAsia"/>
          <w:szCs w:val="21"/>
        </w:rPr>
        <w:br w:type="page"/>
      </w:r>
    </w:p>
    <w:p>
      <w:pPr>
        <w:pStyle w:val="2"/>
        <w:numPr>
          <w:ilvl w:val="0"/>
          <w:numId w:val="1"/>
        </w:numPr>
        <w:rPr>
          <w:rFonts w:hint="eastAsia"/>
          <w:lang w:val="en-US" w:eastAsia="zh-CN"/>
        </w:rPr>
      </w:pPr>
      <w:r>
        <w:rPr>
          <w:rFonts w:hint="eastAsia"/>
          <w:lang w:val="en-US" w:eastAsia="zh-CN"/>
        </w:rPr>
        <w:t>物探测量技术要求</w:t>
      </w:r>
    </w:p>
    <w:p>
      <w:pPr>
        <w:pStyle w:val="2"/>
        <w:numPr>
          <w:ilvl w:val="0"/>
          <w:numId w:val="0"/>
        </w:numPr>
        <w:rPr>
          <w:rFonts w:hint="eastAsia"/>
        </w:rPr>
      </w:pPr>
      <w:r>
        <w:rPr>
          <w:rFonts w:hint="eastAsia"/>
          <w:lang w:val="en-US" w:eastAsia="zh-CN"/>
        </w:rPr>
        <w:t>1）</w:t>
      </w:r>
      <w:r>
        <w:rPr>
          <w:rFonts w:hint="eastAsia"/>
        </w:rPr>
        <w:t>测量内容及范围</w:t>
      </w:r>
    </w:p>
    <w:p>
      <w:pPr>
        <w:pStyle w:val="2"/>
        <w:rPr>
          <w:rFonts w:hint="eastAsia"/>
        </w:rPr>
      </w:pPr>
      <w:r>
        <w:rPr>
          <w:rFonts w:hint="eastAsia"/>
        </w:rPr>
        <w:t>设计范围内的给水、排水（雨水、污水）、通讯（例如电信、移动、联通及军用光缆等）、电力（10kv以上）、燃气（煤气）、热力、高压输油管道等各类地上、地下管线, 在交叉口范围的排水（雨水、污水）、电力、电信等管线探测范围原则上为设计范围向前延伸两个井位，以及现状道路主线两侧有住户区域须测出各种管线接户现状。</w:t>
      </w:r>
    </w:p>
    <w:p>
      <w:pPr>
        <w:pStyle w:val="2"/>
        <w:rPr>
          <w:rFonts w:hint="eastAsia"/>
        </w:rPr>
      </w:pPr>
      <w:r>
        <w:rPr>
          <w:rFonts w:hint="eastAsia"/>
        </w:rPr>
        <w:t>对应各种管线的平面位置（坐标）、对应地面高程、管底高程、断面尺寸、淤积情况、各井的尺寸及井盖的尺寸等；范围内河涌水位、涌底标高、堤岸材料、堤岸尺寸等。</w:t>
      </w:r>
    </w:p>
    <w:p>
      <w:pPr>
        <w:pStyle w:val="2"/>
        <w:rPr>
          <w:rFonts w:hint="eastAsia"/>
        </w:rPr>
      </w:pPr>
      <w:r>
        <w:rPr>
          <w:rFonts w:hint="eastAsia"/>
        </w:rPr>
        <w:t>地下管线实地调查项目如下表：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
        <w:gridCol w:w="91"/>
        <w:gridCol w:w="622"/>
        <w:gridCol w:w="586"/>
        <w:gridCol w:w="587"/>
        <w:gridCol w:w="617"/>
        <w:gridCol w:w="581"/>
        <w:gridCol w:w="10"/>
        <w:gridCol w:w="756"/>
        <w:gridCol w:w="580"/>
        <w:gridCol w:w="567"/>
        <w:gridCol w:w="574"/>
        <w:gridCol w:w="567"/>
        <w:gridCol w:w="567"/>
        <w:gridCol w:w="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67" w:type="dxa"/>
            <w:gridSpan w:val="3"/>
            <w:vMerge w:val="restart"/>
            <w:vAlign w:val="center"/>
          </w:tcPr>
          <w:p>
            <w:pPr>
              <w:pStyle w:val="2"/>
              <w:rPr>
                <w:rFonts w:hint="eastAsia"/>
              </w:rPr>
            </w:pPr>
            <w:r>
              <w:rPr>
                <w:rFonts w:hint="eastAsia"/>
              </w:rPr>
              <w:t>管线类别</w:t>
            </w:r>
          </w:p>
        </w:tc>
        <w:tc>
          <w:tcPr>
            <w:tcW w:w="1173" w:type="dxa"/>
            <w:gridSpan w:val="2"/>
            <w:vAlign w:val="center"/>
          </w:tcPr>
          <w:p>
            <w:pPr>
              <w:pStyle w:val="2"/>
              <w:rPr>
                <w:rFonts w:hint="eastAsia"/>
              </w:rPr>
            </w:pPr>
            <w:r>
              <w:rPr>
                <w:rFonts w:hint="eastAsia"/>
              </w:rPr>
              <w:t>埋  深</w:t>
            </w:r>
          </w:p>
        </w:tc>
        <w:tc>
          <w:tcPr>
            <w:tcW w:w="1208" w:type="dxa"/>
            <w:gridSpan w:val="3"/>
            <w:vAlign w:val="center"/>
          </w:tcPr>
          <w:p>
            <w:pPr>
              <w:pStyle w:val="2"/>
              <w:rPr>
                <w:rFonts w:hint="eastAsia"/>
              </w:rPr>
            </w:pPr>
            <w:r>
              <w:rPr>
                <w:rFonts w:hint="eastAsia"/>
              </w:rPr>
              <w:t>断  面</w:t>
            </w:r>
          </w:p>
        </w:tc>
        <w:tc>
          <w:tcPr>
            <w:tcW w:w="756" w:type="dxa"/>
            <w:vMerge w:val="restart"/>
            <w:vAlign w:val="center"/>
          </w:tcPr>
          <w:p>
            <w:pPr>
              <w:pStyle w:val="2"/>
              <w:rPr>
                <w:rFonts w:hint="eastAsia"/>
              </w:rPr>
            </w:pPr>
            <w:r>
              <w:rPr>
                <w:rFonts w:hint="eastAsia"/>
              </w:rPr>
              <w:t>根数</w:t>
            </w:r>
          </w:p>
        </w:tc>
        <w:tc>
          <w:tcPr>
            <w:tcW w:w="580" w:type="dxa"/>
            <w:vMerge w:val="restart"/>
            <w:vAlign w:val="center"/>
          </w:tcPr>
          <w:p>
            <w:pPr>
              <w:pStyle w:val="2"/>
              <w:rPr>
                <w:rFonts w:hint="eastAsia"/>
              </w:rPr>
            </w:pPr>
            <w:r>
              <w:rPr>
                <w:rFonts w:hint="eastAsia"/>
              </w:rPr>
              <w:t>材质</w:t>
            </w:r>
          </w:p>
        </w:tc>
        <w:tc>
          <w:tcPr>
            <w:tcW w:w="567" w:type="dxa"/>
            <w:vMerge w:val="restart"/>
            <w:vAlign w:val="center"/>
          </w:tcPr>
          <w:p>
            <w:pPr>
              <w:pStyle w:val="2"/>
              <w:rPr>
                <w:rFonts w:hint="eastAsia"/>
              </w:rPr>
            </w:pPr>
            <w:r>
              <w:rPr>
                <w:rFonts w:hint="eastAsia"/>
              </w:rPr>
              <w:t>构筑物</w:t>
            </w:r>
          </w:p>
        </w:tc>
        <w:tc>
          <w:tcPr>
            <w:tcW w:w="574" w:type="dxa"/>
            <w:vMerge w:val="restart"/>
            <w:vAlign w:val="center"/>
          </w:tcPr>
          <w:p>
            <w:pPr>
              <w:pStyle w:val="2"/>
              <w:rPr>
                <w:rFonts w:hint="eastAsia"/>
              </w:rPr>
            </w:pPr>
            <w:r>
              <w:rPr>
                <w:rFonts w:hint="eastAsia"/>
              </w:rPr>
              <w:t>附属物</w:t>
            </w:r>
          </w:p>
        </w:tc>
        <w:tc>
          <w:tcPr>
            <w:tcW w:w="1708" w:type="dxa"/>
            <w:gridSpan w:val="3"/>
            <w:vAlign w:val="center"/>
          </w:tcPr>
          <w:p>
            <w:pPr>
              <w:pStyle w:val="2"/>
              <w:rPr>
                <w:rFonts w:hint="eastAsia"/>
              </w:rPr>
            </w:pPr>
            <w:r>
              <w:rPr>
                <w:rFonts w:hint="eastAsia"/>
              </w:rPr>
              <w:t>载 体 特 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167" w:type="dxa"/>
            <w:gridSpan w:val="3"/>
            <w:vMerge w:val="continue"/>
            <w:vAlign w:val="center"/>
          </w:tcPr>
          <w:p>
            <w:pPr>
              <w:pStyle w:val="2"/>
              <w:rPr>
                <w:rFonts w:hint="eastAsia"/>
              </w:rPr>
            </w:pPr>
          </w:p>
        </w:tc>
        <w:tc>
          <w:tcPr>
            <w:tcW w:w="586" w:type="dxa"/>
            <w:vAlign w:val="center"/>
          </w:tcPr>
          <w:p>
            <w:pPr>
              <w:pStyle w:val="2"/>
              <w:rPr>
                <w:rFonts w:hint="eastAsia"/>
              </w:rPr>
            </w:pPr>
            <w:r>
              <w:rPr>
                <w:rFonts w:hint="eastAsia"/>
              </w:rPr>
              <w:t>内底</w:t>
            </w:r>
          </w:p>
        </w:tc>
        <w:tc>
          <w:tcPr>
            <w:tcW w:w="587" w:type="dxa"/>
            <w:vAlign w:val="center"/>
          </w:tcPr>
          <w:p>
            <w:pPr>
              <w:pStyle w:val="2"/>
              <w:rPr>
                <w:rFonts w:hint="eastAsia"/>
              </w:rPr>
            </w:pPr>
            <w:r>
              <w:rPr>
                <w:rFonts w:hint="eastAsia"/>
              </w:rPr>
              <w:t>外顶</w:t>
            </w:r>
          </w:p>
        </w:tc>
        <w:tc>
          <w:tcPr>
            <w:tcW w:w="617" w:type="dxa"/>
            <w:vAlign w:val="center"/>
          </w:tcPr>
          <w:p>
            <w:pPr>
              <w:pStyle w:val="2"/>
              <w:rPr>
                <w:rFonts w:hint="eastAsia"/>
              </w:rPr>
            </w:pPr>
            <w:r>
              <w:rPr>
                <w:rFonts w:hint="eastAsia"/>
              </w:rPr>
              <w:t>管径</w:t>
            </w:r>
          </w:p>
        </w:tc>
        <w:tc>
          <w:tcPr>
            <w:tcW w:w="591" w:type="dxa"/>
            <w:gridSpan w:val="2"/>
            <w:vAlign w:val="center"/>
          </w:tcPr>
          <w:p>
            <w:pPr>
              <w:pStyle w:val="2"/>
              <w:rPr>
                <w:rFonts w:hint="eastAsia"/>
              </w:rPr>
            </w:pPr>
            <w:r>
              <w:rPr>
                <w:rFonts w:hint="eastAsia"/>
              </w:rPr>
              <w:t>高×宽</w:t>
            </w:r>
          </w:p>
        </w:tc>
        <w:tc>
          <w:tcPr>
            <w:tcW w:w="756" w:type="dxa"/>
            <w:vMerge w:val="continue"/>
            <w:vAlign w:val="center"/>
          </w:tcPr>
          <w:p>
            <w:pPr>
              <w:pStyle w:val="2"/>
              <w:rPr>
                <w:rFonts w:hint="eastAsia"/>
              </w:rPr>
            </w:pPr>
          </w:p>
        </w:tc>
        <w:tc>
          <w:tcPr>
            <w:tcW w:w="580" w:type="dxa"/>
            <w:vMerge w:val="continue"/>
            <w:vAlign w:val="center"/>
          </w:tcPr>
          <w:p>
            <w:pPr>
              <w:pStyle w:val="2"/>
              <w:rPr>
                <w:rFonts w:hint="eastAsia"/>
              </w:rPr>
            </w:pPr>
          </w:p>
        </w:tc>
        <w:tc>
          <w:tcPr>
            <w:tcW w:w="567" w:type="dxa"/>
            <w:vMerge w:val="continue"/>
            <w:vAlign w:val="center"/>
          </w:tcPr>
          <w:p>
            <w:pPr>
              <w:pStyle w:val="2"/>
              <w:rPr>
                <w:rFonts w:hint="eastAsia"/>
              </w:rPr>
            </w:pPr>
          </w:p>
        </w:tc>
        <w:tc>
          <w:tcPr>
            <w:tcW w:w="574" w:type="dxa"/>
            <w:vMerge w:val="continue"/>
            <w:vAlign w:val="center"/>
          </w:tcPr>
          <w:p>
            <w:pPr>
              <w:pStyle w:val="2"/>
              <w:rPr>
                <w:rFonts w:hint="eastAsia"/>
              </w:rPr>
            </w:pPr>
          </w:p>
        </w:tc>
        <w:tc>
          <w:tcPr>
            <w:tcW w:w="567" w:type="dxa"/>
            <w:vAlign w:val="center"/>
          </w:tcPr>
          <w:p>
            <w:pPr>
              <w:pStyle w:val="2"/>
              <w:rPr>
                <w:rFonts w:hint="eastAsia"/>
              </w:rPr>
            </w:pPr>
            <w:r>
              <w:rPr>
                <w:rFonts w:hint="eastAsia"/>
              </w:rPr>
              <w:t>压力</w:t>
            </w:r>
          </w:p>
        </w:tc>
        <w:tc>
          <w:tcPr>
            <w:tcW w:w="567" w:type="dxa"/>
            <w:vAlign w:val="center"/>
          </w:tcPr>
          <w:p>
            <w:pPr>
              <w:pStyle w:val="2"/>
              <w:rPr>
                <w:rFonts w:hint="eastAsia"/>
              </w:rPr>
            </w:pPr>
            <w:r>
              <w:rPr>
                <w:rFonts w:hint="eastAsia"/>
              </w:rPr>
              <w:t>流向</w:t>
            </w:r>
          </w:p>
        </w:tc>
        <w:tc>
          <w:tcPr>
            <w:tcW w:w="574" w:type="dxa"/>
            <w:vAlign w:val="center"/>
          </w:tcPr>
          <w:p>
            <w:pPr>
              <w:pStyle w:val="2"/>
              <w:rPr>
                <w:rFonts w:hint="eastAsia"/>
              </w:rPr>
            </w:pPr>
            <w:r>
              <w:rPr>
                <w:rFonts w:hint="eastAsia"/>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67" w:type="dxa"/>
            <w:gridSpan w:val="3"/>
            <w:vAlign w:val="center"/>
          </w:tcPr>
          <w:p>
            <w:pPr>
              <w:pStyle w:val="2"/>
              <w:rPr>
                <w:rFonts w:hint="eastAsia"/>
              </w:rPr>
            </w:pPr>
            <w:r>
              <w:rPr>
                <w:rFonts w:hint="eastAsia"/>
              </w:rPr>
              <w:t>给  水</w:t>
            </w:r>
          </w:p>
        </w:tc>
        <w:tc>
          <w:tcPr>
            <w:tcW w:w="586" w:type="dxa"/>
            <w:vAlign w:val="center"/>
          </w:tcPr>
          <w:p>
            <w:pPr>
              <w:pStyle w:val="2"/>
              <w:rPr>
                <w:rFonts w:hint="eastAsia"/>
              </w:rPr>
            </w:pPr>
          </w:p>
        </w:tc>
        <w:tc>
          <w:tcPr>
            <w:tcW w:w="587" w:type="dxa"/>
            <w:vAlign w:val="center"/>
          </w:tcPr>
          <w:p>
            <w:pPr>
              <w:pStyle w:val="2"/>
              <w:rPr>
                <w:rFonts w:hint="eastAsia"/>
              </w:rPr>
            </w:pPr>
            <w:r>
              <w:rPr>
                <w:rFonts w:hint="eastAsia"/>
              </w:rPr>
              <w:t>△</w:t>
            </w:r>
          </w:p>
        </w:tc>
        <w:tc>
          <w:tcPr>
            <w:tcW w:w="617" w:type="dxa"/>
            <w:vAlign w:val="center"/>
          </w:tcPr>
          <w:p>
            <w:pPr>
              <w:pStyle w:val="2"/>
              <w:rPr>
                <w:rFonts w:hint="eastAsia"/>
              </w:rPr>
            </w:pPr>
            <w:r>
              <w:rPr>
                <w:rFonts w:hint="eastAsia"/>
              </w:rPr>
              <w:t>△</w:t>
            </w:r>
          </w:p>
        </w:tc>
        <w:tc>
          <w:tcPr>
            <w:tcW w:w="591" w:type="dxa"/>
            <w:gridSpan w:val="2"/>
            <w:vAlign w:val="center"/>
          </w:tcPr>
          <w:p>
            <w:pPr>
              <w:pStyle w:val="2"/>
              <w:rPr>
                <w:rFonts w:hint="eastAsia"/>
              </w:rPr>
            </w:pPr>
          </w:p>
        </w:tc>
        <w:tc>
          <w:tcPr>
            <w:tcW w:w="756" w:type="dxa"/>
            <w:vAlign w:val="center"/>
          </w:tcPr>
          <w:p>
            <w:pPr>
              <w:pStyle w:val="2"/>
              <w:rPr>
                <w:rFonts w:hint="eastAsia"/>
              </w:rPr>
            </w:pPr>
          </w:p>
        </w:tc>
        <w:tc>
          <w:tcPr>
            <w:tcW w:w="580" w:type="dxa"/>
            <w:vAlign w:val="center"/>
          </w:tcPr>
          <w:p>
            <w:pPr>
              <w:pStyle w:val="2"/>
              <w:rPr>
                <w:rFonts w:hint="eastAsia"/>
              </w:rPr>
            </w:pPr>
            <w:r>
              <w:rPr>
                <w:rFonts w:hint="eastAsia"/>
              </w:rPr>
              <w:t>△</w:t>
            </w:r>
          </w:p>
        </w:tc>
        <w:tc>
          <w:tcPr>
            <w:tcW w:w="567" w:type="dxa"/>
            <w:vAlign w:val="center"/>
          </w:tcPr>
          <w:p>
            <w:pPr>
              <w:pStyle w:val="2"/>
              <w:rPr>
                <w:rFonts w:hint="eastAsia"/>
              </w:rPr>
            </w:pPr>
            <w:r>
              <w:rPr>
                <w:rFonts w:hint="eastAsia"/>
              </w:rPr>
              <w:t>△</w:t>
            </w:r>
          </w:p>
        </w:tc>
        <w:tc>
          <w:tcPr>
            <w:tcW w:w="574" w:type="dxa"/>
            <w:vAlign w:val="center"/>
          </w:tcPr>
          <w:p>
            <w:pPr>
              <w:pStyle w:val="2"/>
              <w:rPr>
                <w:rFonts w:hint="eastAsia"/>
              </w:rPr>
            </w:pPr>
            <w:r>
              <w:rPr>
                <w:rFonts w:hint="eastAsia"/>
              </w:rPr>
              <w:t>△</w:t>
            </w:r>
          </w:p>
        </w:tc>
        <w:tc>
          <w:tcPr>
            <w:tcW w:w="567" w:type="dxa"/>
            <w:vAlign w:val="center"/>
          </w:tcPr>
          <w:p>
            <w:pPr>
              <w:pStyle w:val="2"/>
              <w:rPr>
                <w:rFonts w:hint="eastAsia"/>
              </w:rPr>
            </w:pPr>
          </w:p>
        </w:tc>
        <w:tc>
          <w:tcPr>
            <w:tcW w:w="567" w:type="dxa"/>
            <w:vAlign w:val="center"/>
          </w:tcPr>
          <w:p>
            <w:pPr>
              <w:pStyle w:val="2"/>
              <w:rPr>
                <w:rFonts w:hint="eastAsia"/>
              </w:rPr>
            </w:pPr>
          </w:p>
        </w:tc>
        <w:tc>
          <w:tcPr>
            <w:tcW w:w="574" w:type="dxa"/>
            <w:vAlign w:val="center"/>
          </w:tcPr>
          <w:p>
            <w:pPr>
              <w:pStyle w:val="2"/>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545" w:type="dxa"/>
            <w:gridSpan w:val="2"/>
            <w:vMerge w:val="restart"/>
            <w:vAlign w:val="center"/>
          </w:tcPr>
          <w:p>
            <w:pPr>
              <w:pStyle w:val="2"/>
              <w:rPr>
                <w:rFonts w:hint="eastAsia"/>
              </w:rPr>
            </w:pPr>
            <w:r>
              <w:rPr>
                <w:rFonts w:hint="eastAsia"/>
              </w:rPr>
              <w:t>排水</w:t>
            </w:r>
          </w:p>
        </w:tc>
        <w:tc>
          <w:tcPr>
            <w:tcW w:w="622" w:type="dxa"/>
            <w:vAlign w:val="center"/>
          </w:tcPr>
          <w:p>
            <w:pPr>
              <w:pStyle w:val="2"/>
              <w:rPr>
                <w:rFonts w:hint="eastAsia"/>
              </w:rPr>
            </w:pPr>
            <w:r>
              <w:rPr>
                <w:rFonts w:hint="eastAsia"/>
              </w:rPr>
              <w:t>管道</w:t>
            </w:r>
          </w:p>
        </w:tc>
        <w:tc>
          <w:tcPr>
            <w:tcW w:w="586" w:type="dxa"/>
            <w:vAlign w:val="center"/>
          </w:tcPr>
          <w:p>
            <w:pPr>
              <w:pStyle w:val="2"/>
              <w:rPr>
                <w:rFonts w:hint="eastAsia"/>
              </w:rPr>
            </w:pPr>
            <w:r>
              <w:rPr>
                <w:rFonts w:hint="eastAsia"/>
              </w:rPr>
              <w:t>△</w:t>
            </w:r>
          </w:p>
        </w:tc>
        <w:tc>
          <w:tcPr>
            <w:tcW w:w="587" w:type="dxa"/>
            <w:vAlign w:val="center"/>
          </w:tcPr>
          <w:p>
            <w:pPr>
              <w:pStyle w:val="2"/>
              <w:rPr>
                <w:rFonts w:hint="eastAsia"/>
              </w:rPr>
            </w:pPr>
          </w:p>
        </w:tc>
        <w:tc>
          <w:tcPr>
            <w:tcW w:w="617" w:type="dxa"/>
            <w:vAlign w:val="center"/>
          </w:tcPr>
          <w:p>
            <w:pPr>
              <w:pStyle w:val="2"/>
              <w:rPr>
                <w:rFonts w:hint="eastAsia"/>
              </w:rPr>
            </w:pPr>
            <w:r>
              <w:rPr>
                <w:rFonts w:hint="eastAsia"/>
              </w:rPr>
              <w:t>△</w:t>
            </w:r>
          </w:p>
        </w:tc>
        <w:tc>
          <w:tcPr>
            <w:tcW w:w="591" w:type="dxa"/>
            <w:gridSpan w:val="2"/>
            <w:vAlign w:val="center"/>
          </w:tcPr>
          <w:p>
            <w:pPr>
              <w:pStyle w:val="2"/>
              <w:rPr>
                <w:rFonts w:hint="eastAsia"/>
              </w:rPr>
            </w:pPr>
          </w:p>
        </w:tc>
        <w:tc>
          <w:tcPr>
            <w:tcW w:w="756" w:type="dxa"/>
            <w:vAlign w:val="center"/>
          </w:tcPr>
          <w:p>
            <w:pPr>
              <w:pStyle w:val="2"/>
              <w:rPr>
                <w:rFonts w:hint="eastAsia"/>
              </w:rPr>
            </w:pPr>
          </w:p>
        </w:tc>
        <w:tc>
          <w:tcPr>
            <w:tcW w:w="580" w:type="dxa"/>
            <w:vAlign w:val="center"/>
          </w:tcPr>
          <w:p>
            <w:pPr>
              <w:pStyle w:val="2"/>
              <w:rPr>
                <w:rFonts w:hint="eastAsia"/>
              </w:rPr>
            </w:pPr>
            <w:r>
              <w:rPr>
                <w:rFonts w:hint="eastAsia"/>
              </w:rPr>
              <w:t>△</w:t>
            </w:r>
          </w:p>
        </w:tc>
        <w:tc>
          <w:tcPr>
            <w:tcW w:w="567" w:type="dxa"/>
            <w:vAlign w:val="center"/>
          </w:tcPr>
          <w:p>
            <w:pPr>
              <w:pStyle w:val="2"/>
              <w:rPr>
                <w:rFonts w:hint="eastAsia"/>
              </w:rPr>
            </w:pPr>
            <w:r>
              <w:rPr>
                <w:rFonts w:hint="eastAsia"/>
              </w:rPr>
              <w:t>△</w:t>
            </w:r>
          </w:p>
        </w:tc>
        <w:tc>
          <w:tcPr>
            <w:tcW w:w="574" w:type="dxa"/>
            <w:vAlign w:val="center"/>
          </w:tcPr>
          <w:p>
            <w:pPr>
              <w:pStyle w:val="2"/>
              <w:rPr>
                <w:rFonts w:hint="eastAsia"/>
              </w:rPr>
            </w:pPr>
            <w:r>
              <w:rPr>
                <w:rFonts w:hint="eastAsia"/>
              </w:rPr>
              <w:t>△</w:t>
            </w:r>
          </w:p>
        </w:tc>
        <w:tc>
          <w:tcPr>
            <w:tcW w:w="567" w:type="dxa"/>
            <w:vAlign w:val="center"/>
          </w:tcPr>
          <w:p>
            <w:pPr>
              <w:pStyle w:val="2"/>
              <w:rPr>
                <w:rFonts w:hint="eastAsia"/>
              </w:rPr>
            </w:pPr>
          </w:p>
        </w:tc>
        <w:tc>
          <w:tcPr>
            <w:tcW w:w="567" w:type="dxa"/>
            <w:vAlign w:val="center"/>
          </w:tcPr>
          <w:p>
            <w:pPr>
              <w:pStyle w:val="2"/>
              <w:rPr>
                <w:rFonts w:hint="eastAsia"/>
              </w:rPr>
            </w:pPr>
            <w:r>
              <w:rPr>
                <w:rFonts w:hint="eastAsia"/>
              </w:rPr>
              <w:t>△</w:t>
            </w:r>
          </w:p>
        </w:tc>
        <w:tc>
          <w:tcPr>
            <w:tcW w:w="574" w:type="dxa"/>
            <w:vAlign w:val="center"/>
          </w:tcPr>
          <w:p>
            <w:pPr>
              <w:pStyle w:val="2"/>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5" w:type="dxa"/>
            <w:gridSpan w:val="2"/>
            <w:vMerge w:val="continue"/>
            <w:vAlign w:val="center"/>
          </w:tcPr>
          <w:p>
            <w:pPr>
              <w:pStyle w:val="2"/>
              <w:rPr>
                <w:rFonts w:hint="eastAsia"/>
              </w:rPr>
            </w:pPr>
          </w:p>
        </w:tc>
        <w:tc>
          <w:tcPr>
            <w:tcW w:w="622" w:type="dxa"/>
            <w:vAlign w:val="center"/>
          </w:tcPr>
          <w:p>
            <w:pPr>
              <w:pStyle w:val="2"/>
              <w:rPr>
                <w:rFonts w:hint="eastAsia"/>
              </w:rPr>
            </w:pPr>
            <w:r>
              <w:rPr>
                <w:rFonts w:hint="eastAsia"/>
              </w:rPr>
              <w:t>方沟</w:t>
            </w:r>
          </w:p>
        </w:tc>
        <w:tc>
          <w:tcPr>
            <w:tcW w:w="586" w:type="dxa"/>
            <w:vAlign w:val="center"/>
          </w:tcPr>
          <w:p>
            <w:pPr>
              <w:pStyle w:val="2"/>
              <w:rPr>
                <w:rFonts w:hint="eastAsia"/>
              </w:rPr>
            </w:pPr>
            <w:r>
              <w:rPr>
                <w:rFonts w:hint="eastAsia"/>
              </w:rPr>
              <w:t>△</w:t>
            </w:r>
          </w:p>
        </w:tc>
        <w:tc>
          <w:tcPr>
            <w:tcW w:w="587" w:type="dxa"/>
            <w:vAlign w:val="center"/>
          </w:tcPr>
          <w:p>
            <w:pPr>
              <w:pStyle w:val="2"/>
              <w:rPr>
                <w:rFonts w:hint="eastAsia"/>
              </w:rPr>
            </w:pPr>
          </w:p>
        </w:tc>
        <w:tc>
          <w:tcPr>
            <w:tcW w:w="617" w:type="dxa"/>
            <w:vAlign w:val="center"/>
          </w:tcPr>
          <w:p>
            <w:pPr>
              <w:pStyle w:val="2"/>
              <w:rPr>
                <w:rFonts w:hint="eastAsia"/>
              </w:rPr>
            </w:pPr>
          </w:p>
        </w:tc>
        <w:tc>
          <w:tcPr>
            <w:tcW w:w="591" w:type="dxa"/>
            <w:gridSpan w:val="2"/>
            <w:vAlign w:val="center"/>
          </w:tcPr>
          <w:p>
            <w:pPr>
              <w:pStyle w:val="2"/>
              <w:rPr>
                <w:rFonts w:hint="eastAsia"/>
              </w:rPr>
            </w:pPr>
            <w:r>
              <w:rPr>
                <w:rFonts w:hint="eastAsia"/>
              </w:rPr>
              <w:t>△</w:t>
            </w:r>
          </w:p>
        </w:tc>
        <w:tc>
          <w:tcPr>
            <w:tcW w:w="756" w:type="dxa"/>
            <w:vAlign w:val="center"/>
          </w:tcPr>
          <w:p>
            <w:pPr>
              <w:pStyle w:val="2"/>
              <w:rPr>
                <w:rFonts w:hint="eastAsia"/>
              </w:rPr>
            </w:pPr>
          </w:p>
        </w:tc>
        <w:tc>
          <w:tcPr>
            <w:tcW w:w="580" w:type="dxa"/>
            <w:vAlign w:val="center"/>
          </w:tcPr>
          <w:p>
            <w:pPr>
              <w:pStyle w:val="2"/>
              <w:rPr>
                <w:rFonts w:hint="eastAsia"/>
              </w:rPr>
            </w:pPr>
            <w:r>
              <w:rPr>
                <w:rFonts w:hint="eastAsia"/>
              </w:rPr>
              <w:t>△</w:t>
            </w:r>
          </w:p>
        </w:tc>
        <w:tc>
          <w:tcPr>
            <w:tcW w:w="567" w:type="dxa"/>
            <w:vAlign w:val="center"/>
          </w:tcPr>
          <w:p>
            <w:pPr>
              <w:pStyle w:val="2"/>
              <w:rPr>
                <w:rFonts w:hint="eastAsia"/>
              </w:rPr>
            </w:pPr>
            <w:r>
              <w:rPr>
                <w:rFonts w:hint="eastAsia"/>
              </w:rPr>
              <w:t>△</w:t>
            </w:r>
          </w:p>
        </w:tc>
        <w:tc>
          <w:tcPr>
            <w:tcW w:w="574" w:type="dxa"/>
            <w:vAlign w:val="center"/>
          </w:tcPr>
          <w:p>
            <w:pPr>
              <w:pStyle w:val="2"/>
              <w:rPr>
                <w:rFonts w:hint="eastAsia"/>
              </w:rPr>
            </w:pPr>
            <w:r>
              <w:rPr>
                <w:rFonts w:hint="eastAsia"/>
              </w:rPr>
              <w:t>△</w:t>
            </w:r>
          </w:p>
        </w:tc>
        <w:tc>
          <w:tcPr>
            <w:tcW w:w="567" w:type="dxa"/>
            <w:vAlign w:val="center"/>
          </w:tcPr>
          <w:p>
            <w:pPr>
              <w:pStyle w:val="2"/>
              <w:rPr>
                <w:rFonts w:hint="eastAsia"/>
              </w:rPr>
            </w:pPr>
          </w:p>
        </w:tc>
        <w:tc>
          <w:tcPr>
            <w:tcW w:w="567" w:type="dxa"/>
            <w:vAlign w:val="center"/>
          </w:tcPr>
          <w:p>
            <w:pPr>
              <w:pStyle w:val="2"/>
              <w:rPr>
                <w:rFonts w:hint="eastAsia"/>
              </w:rPr>
            </w:pPr>
            <w:r>
              <w:rPr>
                <w:rFonts w:hint="eastAsia"/>
              </w:rPr>
              <w:t>△</w:t>
            </w:r>
          </w:p>
        </w:tc>
        <w:tc>
          <w:tcPr>
            <w:tcW w:w="574" w:type="dxa"/>
            <w:vAlign w:val="center"/>
          </w:tcPr>
          <w:p>
            <w:pPr>
              <w:pStyle w:val="2"/>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167" w:type="dxa"/>
            <w:gridSpan w:val="3"/>
            <w:vAlign w:val="center"/>
          </w:tcPr>
          <w:p>
            <w:pPr>
              <w:pStyle w:val="2"/>
              <w:rPr>
                <w:rFonts w:hint="eastAsia"/>
              </w:rPr>
            </w:pPr>
            <w:r>
              <w:rPr>
                <w:rFonts w:hint="eastAsia"/>
              </w:rPr>
              <w:t>燃气热力输油</w:t>
            </w:r>
          </w:p>
        </w:tc>
        <w:tc>
          <w:tcPr>
            <w:tcW w:w="586" w:type="dxa"/>
            <w:vAlign w:val="center"/>
          </w:tcPr>
          <w:p>
            <w:pPr>
              <w:pStyle w:val="2"/>
              <w:rPr>
                <w:rFonts w:hint="eastAsia"/>
              </w:rPr>
            </w:pPr>
          </w:p>
        </w:tc>
        <w:tc>
          <w:tcPr>
            <w:tcW w:w="587" w:type="dxa"/>
            <w:vAlign w:val="center"/>
          </w:tcPr>
          <w:p>
            <w:pPr>
              <w:pStyle w:val="2"/>
              <w:rPr>
                <w:rFonts w:hint="eastAsia"/>
              </w:rPr>
            </w:pPr>
            <w:r>
              <w:rPr>
                <w:rFonts w:hint="eastAsia"/>
              </w:rPr>
              <w:t>△</w:t>
            </w:r>
          </w:p>
        </w:tc>
        <w:tc>
          <w:tcPr>
            <w:tcW w:w="617" w:type="dxa"/>
            <w:vAlign w:val="center"/>
          </w:tcPr>
          <w:p>
            <w:pPr>
              <w:pStyle w:val="2"/>
              <w:rPr>
                <w:rFonts w:hint="eastAsia"/>
              </w:rPr>
            </w:pPr>
            <w:r>
              <w:rPr>
                <w:rFonts w:hint="eastAsia"/>
              </w:rPr>
              <w:t>△</w:t>
            </w:r>
          </w:p>
        </w:tc>
        <w:tc>
          <w:tcPr>
            <w:tcW w:w="591" w:type="dxa"/>
            <w:gridSpan w:val="2"/>
            <w:vAlign w:val="center"/>
          </w:tcPr>
          <w:p>
            <w:pPr>
              <w:pStyle w:val="2"/>
              <w:rPr>
                <w:rFonts w:hint="eastAsia"/>
              </w:rPr>
            </w:pPr>
          </w:p>
        </w:tc>
        <w:tc>
          <w:tcPr>
            <w:tcW w:w="756" w:type="dxa"/>
            <w:vAlign w:val="center"/>
          </w:tcPr>
          <w:p>
            <w:pPr>
              <w:pStyle w:val="2"/>
              <w:rPr>
                <w:rFonts w:hint="eastAsia"/>
              </w:rPr>
            </w:pPr>
          </w:p>
        </w:tc>
        <w:tc>
          <w:tcPr>
            <w:tcW w:w="580" w:type="dxa"/>
            <w:vAlign w:val="center"/>
          </w:tcPr>
          <w:p>
            <w:pPr>
              <w:pStyle w:val="2"/>
              <w:rPr>
                <w:rFonts w:hint="eastAsia"/>
              </w:rPr>
            </w:pPr>
            <w:r>
              <w:rPr>
                <w:rFonts w:hint="eastAsia"/>
              </w:rPr>
              <w:t>△</w:t>
            </w:r>
          </w:p>
        </w:tc>
        <w:tc>
          <w:tcPr>
            <w:tcW w:w="567" w:type="dxa"/>
            <w:vAlign w:val="center"/>
          </w:tcPr>
          <w:p>
            <w:pPr>
              <w:pStyle w:val="2"/>
              <w:rPr>
                <w:rFonts w:hint="eastAsia"/>
              </w:rPr>
            </w:pPr>
            <w:r>
              <w:rPr>
                <w:rFonts w:hint="eastAsia"/>
              </w:rPr>
              <w:t>△</w:t>
            </w:r>
          </w:p>
        </w:tc>
        <w:tc>
          <w:tcPr>
            <w:tcW w:w="574" w:type="dxa"/>
            <w:vAlign w:val="center"/>
          </w:tcPr>
          <w:p>
            <w:pPr>
              <w:pStyle w:val="2"/>
              <w:rPr>
                <w:rFonts w:hint="eastAsia"/>
              </w:rPr>
            </w:pPr>
            <w:r>
              <w:rPr>
                <w:rFonts w:hint="eastAsia"/>
              </w:rPr>
              <w:t>△</w:t>
            </w:r>
          </w:p>
        </w:tc>
        <w:tc>
          <w:tcPr>
            <w:tcW w:w="567" w:type="dxa"/>
            <w:vAlign w:val="center"/>
          </w:tcPr>
          <w:p>
            <w:pPr>
              <w:pStyle w:val="2"/>
              <w:rPr>
                <w:rFonts w:hint="eastAsia"/>
              </w:rPr>
            </w:pPr>
          </w:p>
        </w:tc>
        <w:tc>
          <w:tcPr>
            <w:tcW w:w="567" w:type="dxa"/>
            <w:vAlign w:val="center"/>
          </w:tcPr>
          <w:p>
            <w:pPr>
              <w:pStyle w:val="2"/>
              <w:rPr>
                <w:rFonts w:hint="eastAsia"/>
              </w:rPr>
            </w:pPr>
          </w:p>
        </w:tc>
        <w:tc>
          <w:tcPr>
            <w:tcW w:w="574" w:type="dxa"/>
            <w:vAlign w:val="center"/>
          </w:tcPr>
          <w:p>
            <w:pPr>
              <w:pStyle w:val="2"/>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454" w:type="dxa"/>
            <w:vMerge w:val="restart"/>
            <w:vAlign w:val="center"/>
          </w:tcPr>
          <w:p>
            <w:pPr>
              <w:pStyle w:val="2"/>
              <w:rPr>
                <w:rFonts w:hint="eastAsia"/>
              </w:rPr>
            </w:pPr>
            <w:r>
              <w:rPr>
                <w:rFonts w:hint="eastAsia"/>
              </w:rPr>
              <w:t>电力</w:t>
            </w:r>
          </w:p>
        </w:tc>
        <w:tc>
          <w:tcPr>
            <w:tcW w:w="713" w:type="dxa"/>
            <w:gridSpan w:val="2"/>
            <w:vAlign w:val="center"/>
          </w:tcPr>
          <w:p>
            <w:pPr>
              <w:pStyle w:val="2"/>
              <w:rPr>
                <w:rFonts w:hint="eastAsia"/>
              </w:rPr>
            </w:pPr>
            <w:r>
              <w:rPr>
                <w:rFonts w:hint="eastAsia"/>
              </w:rPr>
              <w:t>直埋</w:t>
            </w:r>
          </w:p>
        </w:tc>
        <w:tc>
          <w:tcPr>
            <w:tcW w:w="586" w:type="dxa"/>
            <w:vAlign w:val="center"/>
          </w:tcPr>
          <w:p>
            <w:pPr>
              <w:pStyle w:val="2"/>
              <w:rPr>
                <w:rFonts w:hint="eastAsia"/>
              </w:rPr>
            </w:pPr>
          </w:p>
        </w:tc>
        <w:tc>
          <w:tcPr>
            <w:tcW w:w="587" w:type="dxa"/>
            <w:vAlign w:val="center"/>
          </w:tcPr>
          <w:p>
            <w:pPr>
              <w:pStyle w:val="2"/>
              <w:rPr>
                <w:rFonts w:hint="eastAsia"/>
              </w:rPr>
            </w:pPr>
            <w:r>
              <w:rPr>
                <w:rFonts w:hint="eastAsia"/>
              </w:rPr>
              <w:t>△</w:t>
            </w:r>
          </w:p>
        </w:tc>
        <w:tc>
          <w:tcPr>
            <w:tcW w:w="617" w:type="dxa"/>
            <w:vAlign w:val="center"/>
          </w:tcPr>
          <w:p>
            <w:pPr>
              <w:pStyle w:val="2"/>
              <w:rPr>
                <w:rFonts w:hint="eastAsia"/>
              </w:rPr>
            </w:pPr>
            <w:r>
              <w:rPr>
                <w:rFonts w:hint="eastAsia"/>
              </w:rPr>
              <w:t>△</w:t>
            </w:r>
          </w:p>
        </w:tc>
        <w:tc>
          <w:tcPr>
            <w:tcW w:w="591" w:type="dxa"/>
            <w:gridSpan w:val="2"/>
            <w:vAlign w:val="center"/>
          </w:tcPr>
          <w:p>
            <w:pPr>
              <w:pStyle w:val="2"/>
              <w:rPr>
                <w:rFonts w:hint="eastAsia"/>
              </w:rPr>
            </w:pPr>
          </w:p>
        </w:tc>
        <w:tc>
          <w:tcPr>
            <w:tcW w:w="756" w:type="dxa"/>
            <w:vAlign w:val="center"/>
          </w:tcPr>
          <w:p>
            <w:pPr>
              <w:pStyle w:val="2"/>
              <w:rPr>
                <w:rFonts w:hint="eastAsia"/>
              </w:rPr>
            </w:pPr>
            <w:r>
              <w:rPr>
                <w:rFonts w:hint="eastAsia"/>
              </w:rPr>
              <w:t>△</w:t>
            </w:r>
          </w:p>
        </w:tc>
        <w:tc>
          <w:tcPr>
            <w:tcW w:w="580" w:type="dxa"/>
            <w:vAlign w:val="center"/>
          </w:tcPr>
          <w:p>
            <w:pPr>
              <w:pStyle w:val="2"/>
              <w:rPr>
                <w:rFonts w:hint="eastAsia"/>
              </w:rPr>
            </w:pPr>
            <w:r>
              <w:rPr>
                <w:rFonts w:hint="eastAsia"/>
              </w:rPr>
              <w:t>△</w:t>
            </w:r>
          </w:p>
        </w:tc>
        <w:tc>
          <w:tcPr>
            <w:tcW w:w="567" w:type="dxa"/>
            <w:vAlign w:val="center"/>
          </w:tcPr>
          <w:p>
            <w:pPr>
              <w:pStyle w:val="2"/>
              <w:rPr>
                <w:rFonts w:hint="eastAsia"/>
              </w:rPr>
            </w:pPr>
            <w:r>
              <w:rPr>
                <w:rFonts w:hint="eastAsia"/>
              </w:rPr>
              <w:t>△</w:t>
            </w:r>
          </w:p>
        </w:tc>
        <w:tc>
          <w:tcPr>
            <w:tcW w:w="574" w:type="dxa"/>
            <w:vAlign w:val="center"/>
          </w:tcPr>
          <w:p>
            <w:pPr>
              <w:pStyle w:val="2"/>
              <w:rPr>
                <w:rFonts w:hint="eastAsia"/>
              </w:rPr>
            </w:pPr>
            <w:r>
              <w:rPr>
                <w:rFonts w:hint="eastAsia"/>
              </w:rPr>
              <w:t>△</w:t>
            </w:r>
          </w:p>
        </w:tc>
        <w:tc>
          <w:tcPr>
            <w:tcW w:w="567" w:type="dxa"/>
            <w:vAlign w:val="center"/>
          </w:tcPr>
          <w:p>
            <w:pPr>
              <w:pStyle w:val="2"/>
              <w:rPr>
                <w:rFonts w:hint="eastAsia"/>
              </w:rPr>
            </w:pPr>
          </w:p>
        </w:tc>
        <w:tc>
          <w:tcPr>
            <w:tcW w:w="567" w:type="dxa"/>
            <w:vAlign w:val="center"/>
          </w:tcPr>
          <w:p>
            <w:pPr>
              <w:pStyle w:val="2"/>
              <w:rPr>
                <w:rFonts w:hint="eastAsia"/>
              </w:rPr>
            </w:pPr>
          </w:p>
        </w:tc>
        <w:tc>
          <w:tcPr>
            <w:tcW w:w="574" w:type="dxa"/>
            <w:vAlign w:val="center"/>
          </w:tcPr>
          <w:p>
            <w:pPr>
              <w:pStyle w:val="2"/>
              <w:rPr>
                <w:rFonts w:hint="eastAsia"/>
              </w:rPr>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454" w:type="dxa"/>
            <w:vMerge w:val="continue"/>
            <w:vAlign w:val="center"/>
          </w:tcPr>
          <w:p>
            <w:pPr>
              <w:pStyle w:val="2"/>
              <w:rPr>
                <w:rFonts w:hint="eastAsia"/>
              </w:rPr>
            </w:pPr>
          </w:p>
        </w:tc>
        <w:tc>
          <w:tcPr>
            <w:tcW w:w="713" w:type="dxa"/>
            <w:gridSpan w:val="2"/>
            <w:vAlign w:val="center"/>
          </w:tcPr>
          <w:p>
            <w:pPr>
              <w:pStyle w:val="2"/>
              <w:rPr>
                <w:rFonts w:hint="eastAsia"/>
              </w:rPr>
            </w:pPr>
            <w:r>
              <w:rPr>
                <w:rFonts w:hint="eastAsia"/>
              </w:rPr>
              <w:t>沟道</w:t>
            </w:r>
          </w:p>
        </w:tc>
        <w:tc>
          <w:tcPr>
            <w:tcW w:w="586" w:type="dxa"/>
            <w:vAlign w:val="center"/>
          </w:tcPr>
          <w:p>
            <w:pPr>
              <w:pStyle w:val="2"/>
              <w:rPr>
                <w:rFonts w:hint="eastAsia"/>
              </w:rPr>
            </w:pPr>
          </w:p>
        </w:tc>
        <w:tc>
          <w:tcPr>
            <w:tcW w:w="587" w:type="dxa"/>
            <w:vAlign w:val="center"/>
          </w:tcPr>
          <w:p>
            <w:pPr>
              <w:pStyle w:val="2"/>
              <w:rPr>
                <w:rFonts w:hint="eastAsia"/>
              </w:rPr>
            </w:pPr>
            <w:r>
              <w:rPr>
                <w:rFonts w:hint="eastAsia"/>
              </w:rPr>
              <w:t>△</w:t>
            </w:r>
          </w:p>
        </w:tc>
        <w:tc>
          <w:tcPr>
            <w:tcW w:w="617" w:type="dxa"/>
            <w:vAlign w:val="center"/>
          </w:tcPr>
          <w:p>
            <w:pPr>
              <w:pStyle w:val="2"/>
              <w:rPr>
                <w:rFonts w:hint="eastAsia"/>
              </w:rPr>
            </w:pPr>
          </w:p>
        </w:tc>
        <w:tc>
          <w:tcPr>
            <w:tcW w:w="591" w:type="dxa"/>
            <w:gridSpan w:val="2"/>
            <w:vAlign w:val="center"/>
          </w:tcPr>
          <w:p>
            <w:pPr>
              <w:pStyle w:val="2"/>
              <w:rPr>
                <w:rFonts w:hint="eastAsia"/>
              </w:rPr>
            </w:pPr>
            <w:r>
              <w:rPr>
                <w:rFonts w:hint="eastAsia"/>
              </w:rPr>
              <w:t>△</w:t>
            </w:r>
          </w:p>
        </w:tc>
        <w:tc>
          <w:tcPr>
            <w:tcW w:w="756" w:type="dxa"/>
            <w:vAlign w:val="center"/>
          </w:tcPr>
          <w:p>
            <w:pPr>
              <w:pStyle w:val="2"/>
              <w:rPr>
                <w:rFonts w:hint="eastAsia"/>
              </w:rPr>
            </w:pPr>
            <w:r>
              <w:rPr>
                <w:rFonts w:hint="eastAsia"/>
              </w:rPr>
              <w:t>△</w:t>
            </w:r>
          </w:p>
        </w:tc>
        <w:tc>
          <w:tcPr>
            <w:tcW w:w="580" w:type="dxa"/>
            <w:vAlign w:val="center"/>
          </w:tcPr>
          <w:p>
            <w:pPr>
              <w:pStyle w:val="2"/>
              <w:rPr>
                <w:rFonts w:hint="eastAsia"/>
              </w:rPr>
            </w:pPr>
            <w:r>
              <w:rPr>
                <w:rFonts w:hint="eastAsia"/>
              </w:rPr>
              <w:t>△</w:t>
            </w:r>
          </w:p>
        </w:tc>
        <w:tc>
          <w:tcPr>
            <w:tcW w:w="567" w:type="dxa"/>
            <w:vAlign w:val="center"/>
          </w:tcPr>
          <w:p>
            <w:pPr>
              <w:pStyle w:val="2"/>
              <w:rPr>
                <w:rFonts w:hint="eastAsia"/>
              </w:rPr>
            </w:pPr>
            <w:r>
              <w:rPr>
                <w:rFonts w:hint="eastAsia"/>
              </w:rPr>
              <w:t>△</w:t>
            </w:r>
          </w:p>
        </w:tc>
        <w:tc>
          <w:tcPr>
            <w:tcW w:w="574" w:type="dxa"/>
            <w:vAlign w:val="center"/>
          </w:tcPr>
          <w:p>
            <w:pPr>
              <w:pStyle w:val="2"/>
              <w:rPr>
                <w:rFonts w:hint="eastAsia"/>
              </w:rPr>
            </w:pPr>
            <w:r>
              <w:rPr>
                <w:rFonts w:hint="eastAsia"/>
              </w:rPr>
              <w:t>△</w:t>
            </w:r>
          </w:p>
        </w:tc>
        <w:tc>
          <w:tcPr>
            <w:tcW w:w="567" w:type="dxa"/>
            <w:vAlign w:val="center"/>
          </w:tcPr>
          <w:p>
            <w:pPr>
              <w:pStyle w:val="2"/>
              <w:rPr>
                <w:rFonts w:hint="eastAsia"/>
              </w:rPr>
            </w:pPr>
          </w:p>
        </w:tc>
        <w:tc>
          <w:tcPr>
            <w:tcW w:w="567" w:type="dxa"/>
            <w:vAlign w:val="center"/>
          </w:tcPr>
          <w:p>
            <w:pPr>
              <w:pStyle w:val="2"/>
              <w:rPr>
                <w:rFonts w:hint="eastAsia"/>
              </w:rPr>
            </w:pPr>
          </w:p>
        </w:tc>
        <w:tc>
          <w:tcPr>
            <w:tcW w:w="574" w:type="dxa"/>
            <w:vAlign w:val="center"/>
          </w:tcPr>
          <w:p>
            <w:pPr>
              <w:pStyle w:val="2"/>
              <w:rPr>
                <w:rFonts w:hint="eastAsia"/>
              </w:rPr>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454" w:type="dxa"/>
            <w:vMerge w:val="restart"/>
            <w:vAlign w:val="center"/>
          </w:tcPr>
          <w:p>
            <w:pPr>
              <w:pStyle w:val="2"/>
              <w:rPr>
                <w:rFonts w:hint="eastAsia"/>
              </w:rPr>
            </w:pPr>
            <w:r>
              <w:rPr>
                <w:rFonts w:hint="eastAsia"/>
              </w:rPr>
              <w:t>电信</w:t>
            </w:r>
          </w:p>
        </w:tc>
        <w:tc>
          <w:tcPr>
            <w:tcW w:w="713" w:type="dxa"/>
            <w:gridSpan w:val="2"/>
            <w:vAlign w:val="center"/>
          </w:tcPr>
          <w:p>
            <w:pPr>
              <w:pStyle w:val="2"/>
              <w:rPr>
                <w:rFonts w:hint="eastAsia"/>
              </w:rPr>
            </w:pPr>
            <w:r>
              <w:rPr>
                <w:rFonts w:hint="eastAsia"/>
              </w:rPr>
              <w:t>直埋</w:t>
            </w:r>
          </w:p>
        </w:tc>
        <w:tc>
          <w:tcPr>
            <w:tcW w:w="586" w:type="dxa"/>
            <w:vAlign w:val="center"/>
          </w:tcPr>
          <w:p>
            <w:pPr>
              <w:pStyle w:val="2"/>
              <w:rPr>
                <w:rFonts w:hint="eastAsia"/>
              </w:rPr>
            </w:pPr>
          </w:p>
        </w:tc>
        <w:tc>
          <w:tcPr>
            <w:tcW w:w="587" w:type="dxa"/>
            <w:vAlign w:val="center"/>
          </w:tcPr>
          <w:p>
            <w:pPr>
              <w:pStyle w:val="2"/>
              <w:rPr>
                <w:rFonts w:hint="eastAsia"/>
              </w:rPr>
            </w:pPr>
            <w:r>
              <w:rPr>
                <w:rFonts w:hint="eastAsia"/>
              </w:rPr>
              <w:t>△</w:t>
            </w:r>
          </w:p>
        </w:tc>
        <w:tc>
          <w:tcPr>
            <w:tcW w:w="617" w:type="dxa"/>
            <w:vAlign w:val="center"/>
          </w:tcPr>
          <w:p>
            <w:pPr>
              <w:pStyle w:val="2"/>
              <w:rPr>
                <w:rFonts w:hint="eastAsia"/>
              </w:rPr>
            </w:pPr>
            <w:r>
              <w:rPr>
                <w:rFonts w:hint="eastAsia"/>
              </w:rPr>
              <w:t>△</w:t>
            </w:r>
          </w:p>
        </w:tc>
        <w:tc>
          <w:tcPr>
            <w:tcW w:w="581" w:type="dxa"/>
            <w:vAlign w:val="center"/>
          </w:tcPr>
          <w:p>
            <w:pPr>
              <w:pStyle w:val="2"/>
              <w:rPr>
                <w:rFonts w:hint="eastAsia"/>
              </w:rPr>
            </w:pPr>
          </w:p>
        </w:tc>
        <w:tc>
          <w:tcPr>
            <w:tcW w:w="766" w:type="dxa"/>
            <w:gridSpan w:val="2"/>
            <w:vAlign w:val="center"/>
          </w:tcPr>
          <w:p>
            <w:pPr>
              <w:pStyle w:val="2"/>
              <w:rPr>
                <w:rFonts w:hint="eastAsia"/>
              </w:rPr>
            </w:pPr>
            <w:r>
              <w:rPr>
                <w:rFonts w:hint="eastAsia"/>
              </w:rPr>
              <w:t>△</w:t>
            </w:r>
          </w:p>
        </w:tc>
        <w:tc>
          <w:tcPr>
            <w:tcW w:w="580" w:type="dxa"/>
            <w:vAlign w:val="center"/>
          </w:tcPr>
          <w:p>
            <w:pPr>
              <w:pStyle w:val="2"/>
              <w:rPr>
                <w:rFonts w:hint="eastAsia"/>
              </w:rPr>
            </w:pPr>
            <w:r>
              <w:rPr>
                <w:rFonts w:hint="eastAsia"/>
              </w:rPr>
              <w:t>△</w:t>
            </w:r>
          </w:p>
        </w:tc>
        <w:tc>
          <w:tcPr>
            <w:tcW w:w="567" w:type="dxa"/>
            <w:vAlign w:val="center"/>
          </w:tcPr>
          <w:p>
            <w:pPr>
              <w:pStyle w:val="2"/>
              <w:rPr>
                <w:rFonts w:hint="eastAsia"/>
              </w:rPr>
            </w:pPr>
            <w:r>
              <w:rPr>
                <w:rFonts w:hint="eastAsia"/>
              </w:rPr>
              <w:t>△</w:t>
            </w:r>
          </w:p>
        </w:tc>
        <w:tc>
          <w:tcPr>
            <w:tcW w:w="574" w:type="dxa"/>
            <w:vAlign w:val="center"/>
          </w:tcPr>
          <w:p>
            <w:pPr>
              <w:pStyle w:val="2"/>
              <w:rPr>
                <w:rFonts w:hint="eastAsia"/>
              </w:rPr>
            </w:pPr>
            <w:r>
              <w:rPr>
                <w:rFonts w:hint="eastAsia"/>
              </w:rPr>
              <w:t>△</w:t>
            </w:r>
          </w:p>
        </w:tc>
        <w:tc>
          <w:tcPr>
            <w:tcW w:w="567" w:type="dxa"/>
            <w:vAlign w:val="center"/>
          </w:tcPr>
          <w:p>
            <w:pPr>
              <w:pStyle w:val="2"/>
              <w:rPr>
                <w:rFonts w:hint="eastAsia"/>
              </w:rPr>
            </w:pPr>
          </w:p>
        </w:tc>
        <w:tc>
          <w:tcPr>
            <w:tcW w:w="567" w:type="dxa"/>
            <w:vAlign w:val="center"/>
          </w:tcPr>
          <w:p>
            <w:pPr>
              <w:pStyle w:val="2"/>
              <w:rPr>
                <w:rFonts w:hint="eastAsia"/>
              </w:rPr>
            </w:pPr>
          </w:p>
        </w:tc>
        <w:tc>
          <w:tcPr>
            <w:tcW w:w="574" w:type="dxa"/>
            <w:vAlign w:val="center"/>
          </w:tcPr>
          <w:p>
            <w:pPr>
              <w:pStyle w:val="2"/>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atLeast"/>
          <w:jc w:val="center"/>
        </w:trPr>
        <w:tc>
          <w:tcPr>
            <w:tcW w:w="454" w:type="dxa"/>
            <w:vMerge w:val="continue"/>
            <w:vAlign w:val="center"/>
          </w:tcPr>
          <w:p>
            <w:pPr>
              <w:pStyle w:val="2"/>
              <w:rPr>
                <w:rFonts w:hint="eastAsia"/>
              </w:rPr>
            </w:pPr>
          </w:p>
        </w:tc>
        <w:tc>
          <w:tcPr>
            <w:tcW w:w="713" w:type="dxa"/>
            <w:gridSpan w:val="2"/>
            <w:vAlign w:val="center"/>
          </w:tcPr>
          <w:p>
            <w:pPr>
              <w:pStyle w:val="2"/>
              <w:rPr>
                <w:rFonts w:hint="eastAsia"/>
              </w:rPr>
            </w:pPr>
            <w:r>
              <w:rPr>
                <w:rFonts w:hint="eastAsia"/>
              </w:rPr>
              <w:t>管块</w:t>
            </w:r>
          </w:p>
        </w:tc>
        <w:tc>
          <w:tcPr>
            <w:tcW w:w="586" w:type="dxa"/>
            <w:vAlign w:val="center"/>
          </w:tcPr>
          <w:p>
            <w:pPr>
              <w:pStyle w:val="2"/>
              <w:rPr>
                <w:rFonts w:hint="eastAsia"/>
              </w:rPr>
            </w:pPr>
          </w:p>
        </w:tc>
        <w:tc>
          <w:tcPr>
            <w:tcW w:w="587" w:type="dxa"/>
            <w:vAlign w:val="center"/>
          </w:tcPr>
          <w:p>
            <w:pPr>
              <w:pStyle w:val="2"/>
              <w:rPr>
                <w:rFonts w:hint="eastAsia"/>
              </w:rPr>
            </w:pPr>
            <w:r>
              <w:rPr>
                <w:rFonts w:hint="eastAsia"/>
              </w:rPr>
              <w:t>△</w:t>
            </w:r>
          </w:p>
        </w:tc>
        <w:tc>
          <w:tcPr>
            <w:tcW w:w="617" w:type="dxa"/>
            <w:vAlign w:val="center"/>
          </w:tcPr>
          <w:p>
            <w:pPr>
              <w:pStyle w:val="2"/>
              <w:rPr>
                <w:rFonts w:hint="eastAsia"/>
              </w:rPr>
            </w:pPr>
          </w:p>
        </w:tc>
        <w:tc>
          <w:tcPr>
            <w:tcW w:w="581" w:type="dxa"/>
            <w:vAlign w:val="center"/>
          </w:tcPr>
          <w:p>
            <w:pPr>
              <w:pStyle w:val="2"/>
              <w:rPr>
                <w:rFonts w:hint="eastAsia"/>
              </w:rPr>
            </w:pPr>
            <w:r>
              <w:rPr>
                <w:rFonts w:hint="eastAsia"/>
              </w:rPr>
              <w:t>△</w:t>
            </w:r>
          </w:p>
        </w:tc>
        <w:tc>
          <w:tcPr>
            <w:tcW w:w="766" w:type="dxa"/>
            <w:gridSpan w:val="2"/>
            <w:vAlign w:val="center"/>
          </w:tcPr>
          <w:p>
            <w:pPr>
              <w:pStyle w:val="2"/>
              <w:rPr>
                <w:rFonts w:hint="eastAsia"/>
              </w:rPr>
            </w:pPr>
            <w:r>
              <w:rPr>
                <w:rFonts w:hint="eastAsia"/>
              </w:rPr>
              <w:t>△</w:t>
            </w:r>
          </w:p>
        </w:tc>
        <w:tc>
          <w:tcPr>
            <w:tcW w:w="580" w:type="dxa"/>
            <w:vAlign w:val="center"/>
          </w:tcPr>
          <w:p>
            <w:pPr>
              <w:pStyle w:val="2"/>
              <w:rPr>
                <w:rFonts w:hint="eastAsia"/>
              </w:rPr>
            </w:pPr>
            <w:r>
              <w:rPr>
                <w:rFonts w:hint="eastAsia"/>
              </w:rPr>
              <w:t>△</w:t>
            </w:r>
          </w:p>
        </w:tc>
        <w:tc>
          <w:tcPr>
            <w:tcW w:w="567" w:type="dxa"/>
            <w:vAlign w:val="center"/>
          </w:tcPr>
          <w:p>
            <w:pPr>
              <w:pStyle w:val="2"/>
              <w:rPr>
                <w:rFonts w:hint="eastAsia"/>
              </w:rPr>
            </w:pPr>
            <w:r>
              <w:rPr>
                <w:rFonts w:hint="eastAsia"/>
              </w:rPr>
              <w:t>△</w:t>
            </w:r>
          </w:p>
        </w:tc>
        <w:tc>
          <w:tcPr>
            <w:tcW w:w="574" w:type="dxa"/>
            <w:vAlign w:val="center"/>
          </w:tcPr>
          <w:p>
            <w:pPr>
              <w:pStyle w:val="2"/>
              <w:rPr>
                <w:rFonts w:hint="eastAsia"/>
              </w:rPr>
            </w:pPr>
            <w:r>
              <w:rPr>
                <w:rFonts w:hint="eastAsia"/>
              </w:rPr>
              <w:t>△</w:t>
            </w:r>
          </w:p>
        </w:tc>
        <w:tc>
          <w:tcPr>
            <w:tcW w:w="567" w:type="dxa"/>
            <w:vAlign w:val="center"/>
          </w:tcPr>
          <w:p>
            <w:pPr>
              <w:pStyle w:val="2"/>
              <w:rPr>
                <w:rFonts w:hint="eastAsia"/>
              </w:rPr>
            </w:pPr>
          </w:p>
        </w:tc>
        <w:tc>
          <w:tcPr>
            <w:tcW w:w="567" w:type="dxa"/>
            <w:vAlign w:val="center"/>
          </w:tcPr>
          <w:p>
            <w:pPr>
              <w:pStyle w:val="2"/>
              <w:rPr>
                <w:rFonts w:hint="eastAsia"/>
              </w:rPr>
            </w:pPr>
          </w:p>
        </w:tc>
        <w:tc>
          <w:tcPr>
            <w:tcW w:w="574" w:type="dxa"/>
            <w:vAlign w:val="center"/>
          </w:tcPr>
          <w:p>
            <w:pPr>
              <w:pStyle w:val="2"/>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4" w:type="dxa"/>
            <w:vMerge w:val="restart"/>
            <w:vAlign w:val="center"/>
          </w:tcPr>
          <w:p>
            <w:pPr>
              <w:pStyle w:val="2"/>
              <w:rPr>
                <w:rFonts w:hint="eastAsia"/>
              </w:rPr>
            </w:pPr>
            <w:r>
              <w:rPr>
                <w:rFonts w:hint="eastAsia"/>
              </w:rPr>
              <w:t>工业</w:t>
            </w:r>
          </w:p>
        </w:tc>
        <w:tc>
          <w:tcPr>
            <w:tcW w:w="713" w:type="dxa"/>
            <w:gridSpan w:val="2"/>
            <w:vAlign w:val="center"/>
          </w:tcPr>
          <w:p>
            <w:pPr>
              <w:pStyle w:val="2"/>
              <w:rPr>
                <w:rFonts w:hint="eastAsia"/>
              </w:rPr>
            </w:pPr>
            <w:r>
              <w:rPr>
                <w:rFonts w:hint="eastAsia"/>
              </w:rPr>
              <w:t>自流</w:t>
            </w:r>
          </w:p>
        </w:tc>
        <w:tc>
          <w:tcPr>
            <w:tcW w:w="586" w:type="dxa"/>
            <w:vAlign w:val="center"/>
          </w:tcPr>
          <w:p>
            <w:pPr>
              <w:pStyle w:val="2"/>
              <w:rPr>
                <w:rFonts w:hint="eastAsia"/>
              </w:rPr>
            </w:pPr>
            <w:r>
              <w:rPr>
                <w:rFonts w:hint="eastAsia"/>
              </w:rPr>
              <w:t>△</w:t>
            </w:r>
          </w:p>
        </w:tc>
        <w:tc>
          <w:tcPr>
            <w:tcW w:w="587" w:type="dxa"/>
            <w:vAlign w:val="center"/>
          </w:tcPr>
          <w:p>
            <w:pPr>
              <w:pStyle w:val="2"/>
              <w:rPr>
                <w:rFonts w:hint="eastAsia"/>
              </w:rPr>
            </w:pPr>
          </w:p>
        </w:tc>
        <w:tc>
          <w:tcPr>
            <w:tcW w:w="617" w:type="dxa"/>
            <w:vAlign w:val="center"/>
          </w:tcPr>
          <w:p>
            <w:pPr>
              <w:pStyle w:val="2"/>
              <w:rPr>
                <w:rFonts w:hint="eastAsia"/>
              </w:rPr>
            </w:pPr>
            <w:r>
              <w:rPr>
                <w:rFonts w:hint="eastAsia"/>
              </w:rPr>
              <w:t>△</w:t>
            </w:r>
          </w:p>
        </w:tc>
        <w:tc>
          <w:tcPr>
            <w:tcW w:w="591" w:type="dxa"/>
            <w:gridSpan w:val="2"/>
            <w:vAlign w:val="center"/>
          </w:tcPr>
          <w:p>
            <w:pPr>
              <w:pStyle w:val="2"/>
              <w:rPr>
                <w:rFonts w:hint="eastAsia"/>
              </w:rPr>
            </w:pPr>
          </w:p>
        </w:tc>
        <w:tc>
          <w:tcPr>
            <w:tcW w:w="756" w:type="dxa"/>
            <w:vAlign w:val="center"/>
          </w:tcPr>
          <w:p>
            <w:pPr>
              <w:pStyle w:val="2"/>
              <w:rPr>
                <w:rFonts w:hint="eastAsia"/>
              </w:rPr>
            </w:pPr>
          </w:p>
        </w:tc>
        <w:tc>
          <w:tcPr>
            <w:tcW w:w="580" w:type="dxa"/>
            <w:vAlign w:val="center"/>
          </w:tcPr>
          <w:p>
            <w:pPr>
              <w:pStyle w:val="2"/>
              <w:rPr>
                <w:rFonts w:hint="eastAsia"/>
              </w:rPr>
            </w:pPr>
            <w:r>
              <w:rPr>
                <w:rFonts w:hint="eastAsia"/>
              </w:rPr>
              <w:t>△</w:t>
            </w:r>
          </w:p>
        </w:tc>
        <w:tc>
          <w:tcPr>
            <w:tcW w:w="567" w:type="dxa"/>
            <w:vAlign w:val="center"/>
          </w:tcPr>
          <w:p>
            <w:pPr>
              <w:pStyle w:val="2"/>
              <w:rPr>
                <w:rFonts w:hint="eastAsia"/>
              </w:rPr>
            </w:pPr>
            <w:r>
              <w:rPr>
                <w:rFonts w:hint="eastAsia"/>
              </w:rPr>
              <w:t>△</w:t>
            </w:r>
          </w:p>
        </w:tc>
        <w:tc>
          <w:tcPr>
            <w:tcW w:w="574" w:type="dxa"/>
            <w:vAlign w:val="center"/>
          </w:tcPr>
          <w:p>
            <w:pPr>
              <w:pStyle w:val="2"/>
              <w:rPr>
                <w:rFonts w:hint="eastAsia"/>
              </w:rPr>
            </w:pPr>
            <w:r>
              <w:rPr>
                <w:rFonts w:hint="eastAsia"/>
              </w:rPr>
              <w:t>△</w:t>
            </w:r>
          </w:p>
        </w:tc>
        <w:tc>
          <w:tcPr>
            <w:tcW w:w="567" w:type="dxa"/>
            <w:vAlign w:val="center"/>
          </w:tcPr>
          <w:p>
            <w:pPr>
              <w:pStyle w:val="2"/>
              <w:rPr>
                <w:rFonts w:hint="eastAsia"/>
              </w:rPr>
            </w:pPr>
          </w:p>
        </w:tc>
        <w:tc>
          <w:tcPr>
            <w:tcW w:w="567" w:type="dxa"/>
            <w:vAlign w:val="center"/>
          </w:tcPr>
          <w:p>
            <w:pPr>
              <w:pStyle w:val="2"/>
              <w:rPr>
                <w:rFonts w:hint="eastAsia"/>
              </w:rPr>
            </w:pPr>
            <w:r>
              <w:rPr>
                <w:rFonts w:hint="eastAsia"/>
              </w:rPr>
              <w:t>△</w:t>
            </w:r>
          </w:p>
        </w:tc>
        <w:tc>
          <w:tcPr>
            <w:tcW w:w="574" w:type="dxa"/>
            <w:vAlign w:val="center"/>
          </w:tcPr>
          <w:p>
            <w:pPr>
              <w:pStyle w:val="2"/>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4" w:type="dxa"/>
            <w:vMerge w:val="continue"/>
            <w:vAlign w:val="center"/>
          </w:tcPr>
          <w:p>
            <w:pPr>
              <w:pStyle w:val="2"/>
              <w:rPr>
                <w:rFonts w:hint="eastAsia"/>
              </w:rPr>
            </w:pPr>
          </w:p>
        </w:tc>
        <w:tc>
          <w:tcPr>
            <w:tcW w:w="713" w:type="dxa"/>
            <w:gridSpan w:val="2"/>
            <w:vAlign w:val="center"/>
          </w:tcPr>
          <w:p>
            <w:pPr>
              <w:pStyle w:val="2"/>
              <w:rPr>
                <w:rFonts w:hint="eastAsia"/>
              </w:rPr>
            </w:pPr>
            <w:r>
              <w:rPr>
                <w:rFonts w:hint="eastAsia"/>
              </w:rPr>
              <w:t>压力</w:t>
            </w:r>
          </w:p>
        </w:tc>
        <w:tc>
          <w:tcPr>
            <w:tcW w:w="586" w:type="dxa"/>
            <w:vAlign w:val="center"/>
          </w:tcPr>
          <w:p>
            <w:pPr>
              <w:pStyle w:val="2"/>
              <w:rPr>
                <w:rFonts w:hint="eastAsia"/>
              </w:rPr>
            </w:pPr>
          </w:p>
        </w:tc>
        <w:tc>
          <w:tcPr>
            <w:tcW w:w="587" w:type="dxa"/>
            <w:vAlign w:val="center"/>
          </w:tcPr>
          <w:p>
            <w:pPr>
              <w:pStyle w:val="2"/>
              <w:rPr>
                <w:rFonts w:hint="eastAsia"/>
              </w:rPr>
            </w:pPr>
            <w:r>
              <w:rPr>
                <w:rFonts w:hint="eastAsia"/>
              </w:rPr>
              <w:t>△</w:t>
            </w:r>
          </w:p>
        </w:tc>
        <w:tc>
          <w:tcPr>
            <w:tcW w:w="617" w:type="dxa"/>
            <w:vAlign w:val="center"/>
          </w:tcPr>
          <w:p>
            <w:pPr>
              <w:pStyle w:val="2"/>
              <w:rPr>
                <w:rFonts w:hint="eastAsia"/>
              </w:rPr>
            </w:pPr>
            <w:r>
              <w:rPr>
                <w:rFonts w:hint="eastAsia"/>
              </w:rPr>
              <w:t>△</w:t>
            </w:r>
          </w:p>
        </w:tc>
        <w:tc>
          <w:tcPr>
            <w:tcW w:w="591" w:type="dxa"/>
            <w:gridSpan w:val="2"/>
            <w:vAlign w:val="center"/>
          </w:tcPr>
          <w:p>
            <w:pPr>
              <w:pStyle w:val="2"/>
              <w:rPr>
                <w:rFonts w:hint="eastAsia"/>
              </w:rPr>
            </w:pPr>
          </w:p>
        </w:tc>
        <w:tc>
          <w:tcPr>
            <w:tcW w:w="756" w:type="dxa"/>
            <w:vAlign w:val="center"/>
          </w:tcPr>
          <w:p>
            <w:pPr>
              <w:pStyle w:val="2"/>
              <w:rPr>
                <w:rFonts w:hint="eastAsia"/>
              </w:rPr>
            </w:pPr>
          </w:p>
        </w:tc>
        <w:tc>
          <w:tcPr>
            <w:tcW w:w="580" w:type="dxa"/>
            <w:vAlign w:val="center"/>
          </w:tcPr>
          <w:p>
            <w:pPr>
              <w:pStyle w:val="2"/>
              <w:rPr>
                <w:rFonts w:hint="eastAsia"/>
              </w:rPr>
            </w:pPr>
            <w:r>
              <w:rPr>
                <w:rFonts w:hint="eastAsia"/>
              </w:rPr>
              <w:t>△</w:t>
            </w:r>
          </w:p>
        </w:tc>
        <w:tc>
          <w:tcPr>
            <w:tcW w:w="567" w:type="dxa"/>
            <w:vAlign w:val="center"/>
          </w:tcPr>
          <w:p>
            <w:pPr>
              <w:pStyle w:val="2"/>
              <w:rPr>
                <w:rFonts w:hint="eastAsia"/>
              </w:rPr>
            </w:pPr>
            <w:r>
              <w:rPr>
                <w:rFonts w:hint="eastAsia"/>
              </w:rPr>
              <w:t>△</w:t>
            </w:r>
          </w:p>
        </w:tc>
        <w:tc>
          <w:tcPr>
            <w:tcW w:w="574" w:type="dxa"/>
            <w:vAlign w:val="center"/>
          </w:tcPr>
          <w:p>
            <w:pPr>
              <w:pStyle w:val="2"/>
              <w:rPr>
                <w:rFonts w:hint="eastAsia"/>
              </w:rPr>
            </w:pPr>
            <w:r>
              <w:rPr>
                <w:rFonts w:hint="eastAsia"/>
              </w:rPr>
              <w:t>△</w:t>
            </w:r>
          </w:p>
        </w:tc>
        <w:tc>
          <w:tcPr>
            <w:tcW w:w="567" w:type="dxa"/>
            <w:vAlign w:val="center"/>
          </w:tcPr>
          <w:p>
            <w:pPr>
              <w:pStyle w:val="2"/>
              <w:rPr>
                <w:rFonts w:hint="eastAsia"/>
              </w:rPr>
            </w:pPr>
            <w:r>
              <w:rPr>
                <w:rFonts w:hint="eastAsia"/>
              </w:rPr>
              <w:t>△</w:t>
            </w:r>
          </w:p>
        </w:tc>
        <w:tc>
          <w:tcPr>
            <w:tcW w:w="567" w:type="dxa"/>
            <w:vAlign w:val="center"/>
          </w:tcPr>
          <w:p>
            <w:pPr>
              <w:pStyle w:val="2"/>
              <w:rPr>
                <w:rFonts w:hint="eastAsia"/>
              </w:rPr>
            </w:pPr>
          </w:p>
        </w:tc>
        <w:tc>
          <w:tcPr>
            <w:tcW w:w="574" w:type="dxa"/>
            <w:vAlign w:val="center"/>
          </w:tcPr>
          <w:p>
            <w:pPr>
              <w:pStyle w:val="2"/>
              <w:rPr>
                <w:rFonts w:hint="eastAsia"/>
              </w:rPr>
            </w:pPr>
          </w:p>
        </w:tc>
      </w:tr>
    </w:tbl>
    <w:p>
      <w:pPr>
        <w:pStyle w:val="2"/>
        <w:rPr>
          <w:rFonts w:hint="eastAsia"/>
        </w:rPr>
      </w:pPr>
      <w:r>
        <w:rPr>
          <w:rFonts w:hint="eastAsia"/>
        </w:rPr>
        <w:t>管线探测与测注的项目如下表：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5"/>
        <w:gridCol w:w="1575"/>
        <w:gridCol w:w="1485"/>
        <w:gridCol w:w="1455"/>
        <w:gridCol w:w="1155"/>
        <w:gridCol w:w="1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blHeader/>
          <w:jc w:val="center"/>
        </w:trPr>
        <w:tc>
          <w:tcPr>
            <w:tcW w:w="1365" w:type="dxa"/>
            <w:vMerge w:val="restart"/>
            <w:vAlign w:val="center"/>
          </w:tcPr>
          <w:p>
            <w:pPr>
              <w:pStyle w:val="2"/>
              <w:rPr>
                <w:rFonts w:hint="eastAsia"/>
              </w:rPr>
            </w:pPr>
            <w:r>
              <w:rPr>
                <w:rFonts w:hint="eastAsia"/>
              </w:rPr>
              <w:t>管线种类</w:t>
            </w:r>
          </w:p>
        </w:tc>
        <w:tc>
          <w:tcPr>
            <w:tcW w:w="1575" w:type="dxa"/>
            <w:vMerge w:val="restart"/>
            <w:vAlign w:val="center"/>
          </w:tcPr>
          <w:p>
            <w:pPr>
              <w:pStyle w:val="2"/>
              <w:rPr>
                <w:rFonts w:hint="eastAsia"/>
              </w:rPr>
            </w:pPr>
            <w:r>
              <w:rPr>
                <w:rFonts w:hint="eastAsia"/>
              </w:rPr>
              <w:t>地面建（构）筑物</w:t>
            </w:r>
          </w:p>
        </w:tc>
        <w:tc>
          <w:tcPr>
            <w:tcW w:w="2940" w:type="dxa"/>
            <w:gridSpan w:val="2"/>
            <w:vAlign w:val="center"/>
          </w:tcPr>
          <w:p>
            <w:pPr>
              <w:pStyle w:val="2"/>
              <w:rPr>
                <w:rFonts w:hint="eastAsia"/>
              </w:rPr>
            </w:pPr>
            <w:r>
              <w:rPr>
                <w:rFonts w:hint="eastAsia"/>
              </w:rPr>
              <w:t>定位附属点</w:t>
            </w:r>
          </w:p>
        </w:tc>
        <w:tc>
          <w:tcPr>
            <w:tcW w:w="1155" w:type="dxa"/>
            <w:vMerge w:val="restart"/>
            <w:vAlign w:val="center"/>
          </w:tcPr>
          <w:p>
            <w:pPr>
              <w:pStyle w:val="2"/>
              <w:rPr>
                <w:rFonts w:hint="eastAsia"/>
              </w:rPr>
            </w:pPr>
            <w:r>
              <w:rPr>
                <w:rFonts w:hint="eastAsia"/>
              </w:rPr>
              <w:t>测量</w:t>
            </w:r>
          </w:p>
          <w:p>
            <w:pPr>
              <w:pStyle w:val="2"/>
              <w:rPr>
                <w:rFonts w:hint="eastAsia"/>
              </w:rPr>
            </w:pPr>
            <w:r>
              <w:rPr>
                <w:rFonts w:hint="eastAsia"/>
              </w:rPr>
              <w:t>高程位置</w:t>
            </w:r>
          </w:p>
        </w:tc>
        <w:tc>
          <w:tcPr>
            <w:tcW w:w="1485" w:type="dxa"/>
            <w:vMerge w:val="restart"/>
            <w:vAlign w:val="center"/>
          </w:tcPr>
          <w:p>
            <w:pPr>
              <w:pStyle w:val="2"/>
              <w:rPr>
                <w:rFonts w:hint="eastAsia"/>
              </w:rPr>
            </w:pPr>
            <w:r>
              <w:rPr>
                <w:rFonts w:hint="eastAsia"/>
              </w:rPr>
              <w:t>测注高程位置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blHeader/>
          <w:jc w:val="center"/>
        </w:trPr>
        <w:tc>
          <w:tcPr>
            <w:tcW w:w="1365" w:type="dxa"/>
            <w:vMerge w:val="continue"/>
            <w:vAlign w:val="center"/>
          </w:tcPr>
          <w:p>
            <w:pPr>
              <w:pStyle w:val="2"/>
              <w:rPr>
                <w:rFonts w:hint="eastAsia"/>
              </w:rPr>
            </w:pPr>
          </w:p>
        </w:tc>
        <w:tc>
          <w:tcPr>
            <w:tcW w:w="1575" w:type="dxa"/>
            <w:vMerge w:val="continue"/>
            <w:vAlign w:val="center"/>
          </w:tcPr>
          <w:p>
            <w:pPr>
              <w:pStyle w:val="2"/>
              <w:rPr>
                <w:rFonts w:hint="eastAsia"/>
              </w:rPr>
            </w:pPr>
          </w:p>
        </w:tc>
        <w:tc>
          <w:tcPr>
            <w:tcW w:w="1485" w:type="dxa"/>
            <w:vAlign w:val="center"/>
          </w:tcPr>
          <w:p>
            <w:pPr>
              <w:pStyle w:val="2"/>
              <w:rPr>
                <w:rFonts w:hint="eastAsia"/>
              </w:rPr>
            </w:pPr>
            <w:r>
              <w:rPr>
                <w:rFonts w:hint="eastAsia"/>
              </w:rPr>
              <w:t>特征点</w:t>
            </w:r>
          </w:p>
        </w:tc>
        <w:tc>
          <w:tcPr>
            <w:tcW w:w="1455" w:type="dxa"/>
            <w:vAlign w:val="center"/>
          </w:tcPr>
          <w:p>
            <w:pPr>
              <w:pStyle w:val="2"/>
              <w:rPr>
                <w:rFonts w:hint="eastAsia"/>
              </w:rPr>
            </w:pPr>
            <w:r>
              <w:rPr>
                <w:rFonts w:hint="eastAsia"/>
              </w:rPr>
              <w:t>附属物</w:t>
            </w:r>
          </w:p>
        </w:tc>
        <w:tc>
          <w:tcPr>
            <w:tcW w:w="1155" w:type="dxa"/>
            <w:vMerge w:val="continue"/>
            <w:vAlign w:val="center"/>
          </w:tcPr>
          <w:p>
            <w:pPr>
              <w:pStyle w:val="2"/>
              <w:rPr>
                <w:rFonts w:hint="eastAsia"/>
              </w:rPr>
            </w:pPr>
          </w:p>
        </w:tc>
        <w:tc>
          <w:tcPr>
            <w:tcW w:w="1485" w:type="dxa"/>
            <w:vMerge w:val="continue"/>
            <w:vAlign w:val="center"/>
          </w:tcPr>
          <w:p>
            <w:pPr>
              <w:pStyle w:val="2"/>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5" w:type="dxa"/>
            <w:vAlign w:val="center"/>
          </w:tcPr>
          <w:p>
            <w:pPr>
              <w:pStyle w:val="2"/>
              <w:rPr>
                <w:rFonts w:hint="eastAsia"/>
              </w:rPr>
            </w:pPr>
            <w:r>
              <w:rPr>
                <w:rFonts w:hint="eastAsia"/>
              </w:rPr>
              <w:t>给水</w:t>
            </w:r>
          </w:p>
        </w:tc>
        <w:tc>
          <w:tcPr>
            <w:tcW w:w="1575" w:type="dxa"/>
            <w:vAlign w:val="center"/>
          </w:tcPr>
          <w:p>
            <w:pPr>
              <w:pStyle w:val="2"/>
              <w:rPr>
                <w:rFonts w:hint="eastAsia"/>
              </w:rPr>
            </w:pPr>
            <w:r>
              <w:rPr>
                <w:rFonts w:hint="eastAsia"/>
              </w:rPr>
              <w:t>取水口、净水厂、泵站、水塔、水池</w:t>
            </w:r>
          </w:p>
        </w:tc>
        <w:tc>
          <w:tcPr>
            <w:tcW w:w="1485" w:type="dxa"/>
            <w:vAlign w:val="center"/>
          </w:tcPr>
          <w:p>
            <w:pPr>
              <w:pStyle w:val="2"/>
              <w:rPr>
                <w:rFonts w:hint="eastAsia"/>
              </w:rPr>
            </w:pPr>
            <w:r>
              <w:rPr>
                <w:rFonts w:hint="eastAsia"/>
              </w:rPr>
              <w:t>弯头、变径点、进非测区点、预留口、多通点</w:t>
            </w:r>
          </w:p>
        </w:tc>
        <w:tc>
          <w:tcPr>
            <w:tcW w:w="1455" w:type="dxa"/>
            <w:vAlign w:val="center"/>
          </w:tcPr>
          <w:p>
            <w:pPr>
              <w:pStyle w:val="2"/>
              <w:rPr>
                <w:rFonts w:hint="eastAsia"/>
              </w:rPr>
            </w:pPr>
            <w:r>
              <w:rPr>
                <w:rFonts w:hint="eastAsia"/>
              </w:rPr>
              <w:t>阀门、放水口、排气（泥）阀、水表、消防栓、各种窨井</w:t>
            </w:r>
          </w:p>
        </w:tc>
        <w:tc>
          <w:tcPr>
            <w:tcW w:w="1155" w:type="dxa"/>
            <w:vAlign w:val="center"/>
          </w:tcPr>
          <w:p>
            <w:pPr>
              <w:pStyle w:val="2"/>
              <w:rPr>
                <w:rFonts w:hint="eastAsia"/>
              </w:rPr>
            </w:pPr>
            <w:r>
              <w:rPr>
                <w:rFonts w:hint="eastAsia"/>
              </w:rPr>
              <w:t>管径材质</w:t>
            </w:r>
          </w:p>
        </w:tc>
        <w:tc>
          <w:tcPr>
            <w:tcW w:w="1485" w:type="dxa"/>
            <w:vAlign w:val="center"/>
          </w:tcPr>
          <w:p>
            <w:pPr>
              <w:pStyle w:val="2"/>
              <w:rPr>
                <w:rFonts w:hint="eastAsia"/>
              </w:rPr>
            </w:pPr>
            <w:r>
              <w:rPr>
                <w:rFonts w:hint="eastAsia"/>
              </w:rPr>
              <w:t>管顶及地面高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5" w:type="dxa"/>
            <w:vAlign w:val="center"/>
          </w:tcPr>
          <w:p>
            <w:pPr>
              <w:pStyle w:val="2"/>
              <w:rPr>
                <w:rFonts w:hint="eastAsia"/>
              </w:rPr>
            </w:pPr>
            <w:r>
              <w:rPr>
                <w:rFonts w:hint="eastAsia"/>
              </w:rPr>
              <w:t>排水</w:t>
            </w:r>
          </w:p>
          <w:p>
            <w:pPr>
              <w:pStyle w:val="2"/>
              <w:rPr>
                <w:rFonts w:hint="eastAsia"/>
              </w:rPr>
            </w:pPr>
            <w:r>
              <w:rPr>
                <w:rFonts w:hint="eastAsia"/>
              </w:rPr>
              <w:t>（含雨、污、合流）</w:t>
            </w:r>
          </w:p>
        </w:tc>
        <w:tc>
          <w:tcPr>
            <w:tcW w:w="1575" w:type="dxa"/>
            <w:vAlign w:val="center"/>
          </w:tcPr>
          <w:p>
            <w:pPr>
              <w:pStyle w:val="2"/>
              <w:rPr>
                <w:rFonts w:hint="eastAsia"/>
              </w:rPr>
            </w:pPr>
            <w:r>
              <w:rPr>
                <w:rFonts w:hint="eastAsia"/>
              </w:rPr>
              <w:t>化粪池、泵站、净化池、暗沟地面出口</w:t>
            </w:r>
          </w:p>
        </w:tc>
        <w:tc>
          <w:tcPr>
            <w:tcW w:w="1485" w:type="dxa"/>
            <w:vAlign w:val="center"/>
          </w:tcPr>
          <w:p>
            <w:pPr>
              <w:pStyle w:val="2"/>
              <w:rPr>
                <w:rFonts w:hint="eastAsia"/>
              </w:rPr>
            </w:pPr>
            <w:r>
              <w:rPr>
                <w:rFonts w:hint="eastAsia"/>
              </w:rPr>
              <w:t>变深点、多通点、进出水口、交叉口、起终点井</w:t>
            </w:r>
          </w:p>
        </w:tc>
        <w:tc>
          <w:tcPr>
            <w:tcW w:w="1455" w:type="dxa"/>
            <w:vAlign w:val="center"/>
          </w:tcPr>
          <w:p>
            <w:pPr>
              <w:pStyle w:val="2"/>
              <w:rPr>
                <w:rFonts w:hint="eastAsia"/>
              </w:rPr>
            </w:pPr>
            <w:r>
              <w:rPr>
                <w:rFonts w:hint="eastAsia"/>
              </w:rPr>
              <w:t>各种窨井、污水篦、排污装置、雨水口</w:t>
            </w:r>
          </w:p>
        </w:tc>
        <w:tc>
          <w:tcPr>
            <w:tcW w:w="1155" w:type="dxa"/>
            <w:vAlign w:val="center"/>
          </w:tcPr>
          <w:p>
            <w:pPr>
              <w:pStyle w:val="2"/>
              <w:rPr>
                <w:rFonts w:hint="eastAsia"/>
              </w:rPr>
            </w:pPr>
            <w:r>
              <w:rPr>
                <w:rFonts w:hint="eastAsia"/>
              </w:rPr>
              <w:t>管径、断面尺寸、材质</w:t>
            </w:r>
          </w:p>
        </w:tc>
        <w:tc>
          <w:tcPr>
            <w:tcW w:w="1485" w:type="dxa"/>
            <w:vAlign w:val="center"/>
          </w:tcPr>
          <w:p>
            <w:pPr>
              <w:pStyle w:val="2"/>
              <w:rPr>
                <w:rFonts w:hint="eastAsia"/>
              </w:rPr>
            </w:pPr>
            <w:r>
              <w:rPr>
                <w:rFonts w:hint="eastAsia"/>
              </w:rPr>
              <w:t>管底、方沟底、沉泥井底及地面高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5" w:type="dxa"/>
            <w:vAlign w:val="center"/>
          </w:tcPr>
          <w:p>
            <w:pPr>
              <w:pStyle w:val="2"/>
              <w:rPr>
                <w:rFonts w:hint="eastAsia"/>
              </w:rPr>
            </w:pPr>
            <w:r>
              <w:rPr>
                <w:rFonts w:hint="eastAsia"/>
              </w:rPr>
              <w:t>电力</w:t>
            </w:r>
          </w:p>
        </w:tc>
        <w:tc>
          <w:tcPr>
            <w:tcW w:w="1575" w:type="dxa"/>
            <w:vAlign w:val="center"/>
          </w:tcPr>
          <w:p>
            <w:pPr>
              <w:pStyle w:val="2"/>
              <w:rPr>
                <w:rFonts w:hint="eastAsia"/>
              </w:rPr>
            </w:pPr>
            <w:r>
              <w:rPr>
                <w:rFonts w:hint="eastAsia"/>
              </w:rPr>
              <w:t>变电室、配电房、高压线塔、杆</w:t>
            </w:r>
          </w:p>
        </w:tc>
        <w:tc>
          <w:tcPr>
            <w:tcW w:w="1485" w:type="dxa"/>
            <w:vAlign w:val="center"/>
          </w:tcPr>
          <w:p>
            <w:pPr>
              <w:pStyle w:val="2"/>
              <w:rPr>
                <w:rFonts w:hint="eastAsia"/>
              </w:rPr>
            </w:pPr>
            <w:r>
              <w:rPr>
                <w:rFonts w:hint="eastAsia"/>
              </w:rPr>
              <w:t>弯头、分支点、上杆、人孔井、进非测区点、预留口</w:t>
            </w:r>
          </w:p>
        </w:tc>
        <w:tc>
          <w:tcPr>
            <w:tcW w:w="1455" w:type="dxa"/>
            <w:vAlign w:val="center"/>
          </w:tcPr>
          <w:p>
            <w:pPr>
              <w:pStyle w:val="2"/>
              <w:rPr>
                <w:rFonts w:hint="eastAsia"/>
              </w:rPr>
            </w:pPr>
            <w:r>
              <w:rPr>
                <w:rFonts w:hint="eastAsia"/>
              </w:rPr>
              <w:t>变压器、塔、分支箱、各种窨井</w:t>
            </w:r>
          </w:p>
        </w:tc>
        <w:tc>
          <w:tcPr>
            <w:tcW w:w="1155" w:type="dxa"/>
            <w:vAlign w:val="center"/>
          </w:tcPr>
          <w:p>
            <w:pPr>
              <w:pStyle w:val="2"/>
              <w:rPr>
                <w:rFonts w:hint="eastAsia"/>
              </w:rPr>
            </w:pPr>
            <w:r>
              <w:rPr>
                <w:rFonts w:hint="eastAsia"/>
              </w:rPr>
              <w:t>电压值、管沟（块）断面尺寸、材质、电/光缆条数</w:t>
            </w:r>
          </w:p>
        </w:tc>
        <w:tc>
          <w:tcPr>
            <w:tcW w:w="1485" w:type="dxa"/>
            <w:vAlign w:val="center"/>
          </w:tcPr>
          <w:p>
            <w:pPr>
              <w:pStyle w:val="2"/>
              <w:rPr>
                <w:rFonts w:hint="eastAsia"/>
              </w:rPr>
            </w:pPr>
            <w:r>
              <w:rPr>
                <w:rFonts w:hint="eastAsia"/>
              </w:rPr>
              <w:t>缆顶、沟顶、管块顶及地面高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5" w:type="dxa"/>
            <w:vAlign w:val="center"/>
          </w:tcPr>
          <w:p>
            <w:pPr>
              <w:pStyle w:val="2"/>
              <w:rPr>
                <w:rFonts w:hint="eastAsia"/>
              </w:rPr>
            </w:pPr>
            <w:r>
              <w:rPr>
                <w:rFonts w:hint="eastAsia"/>
              </w:rPr>
              <w:t>电信</w:t>
            </w:r>
          </w:p>
        </w:tc>
        <w:tc>
          <w:tcPr>
            <w:tcW w:w="1575" w:type="dxa"/>
            <w:vAlign w:val="center"/>
          </w:tcPr>
          <w:p>
            <w:pPr>
              <w:pStyle w:val="2"/>
              <w:rPr>
                <w:rFonts w:hint="eastAsia"/>
              </w:rPr>
            </w:pPr>
            <w:r>
              <w:rPr>
                <w:rFonts w:hint="eastAsia"/>
              </w:rPr>
              <w:t>变换站、控制室、差转台、发射塔（杆）</w:t>
            </w:r>
          </w:p>
        </w:tc>
        <w:tc>
          <w:tcPr>
            <w:tcW w:w="1485" w:type="dxa"/>
            <w:vAlign w:val="center"/>
          </w:tcPr>
          <w:p>
            <w:pPr>
              <w:pStyle w:val="2"/>
              <w:rPr>
                <w:rFonts w:hint="eastAsia"/>
              </w:rPr>
            </w:pPr>
            <w:r>
              <w:rPr>
                <w:rFonts w:hint="eastAsia"/>
              </w:rPr>
              <w:t>分支、变径点、变深点、多通点、上杆</w:t>
            </w:r>
          </w:p>
        </w:tc>
        <w:tc>
          <w:tcPr>
            <w:tcW w:w="1455" w:type="dxa"/>
            <w:vAlign w:val="center"/>
          </w:tcPr>
          <w:p>
            <w:pPr>
              <w:pStyle w:val="2"/>
              <w:rPr>
                <w:rFonts w:hint="eastAsia"/>
              </w:rPr>
            </w:pPr>
            <w:r>
              <w:rPr>
                <w:rFonts w:hint="eastAsia"/>
              </w:rPr>
              <w:t>人孔井、手孔井、接线箱、各种窨井</w:t>
            </w:r>
          </w:p>
        </w:tc>
        <w:tc>
          <w:tcPr>
            <w:tcW w:w="1155" w:type="dxa"/>
            <w:vAlign w:val="center"/>
          </w:tcPr>
          <w:p>
            <w:pPr>
              <w:pStyle w:val="2"/>
              <w:rPr>
                <w:rFonts w:hint="eastAsia"/>
              </w:rPr>
            </w:pPr>
            <w:r>
              <w:rPr>
                <w:rFonts w:hint="eastAsia"/>
              </w:rPr>
              <w:t>管块断面尺寸、孔径总孔数、条数</w:t>
            </w:r>
          </w:p>
        </w:tc>
        <w:tc>
          <w:tcPr>
            <w:tcW w:w="1485" w:type="dxa"/>
            <w:vAlign w:val="center"/>
          </w:tcPr>
          <w:p>
            <w:pPr>
              <w:pStyle w:val="2"/>
              <w:rPr>
                <w:rFonts w:hint="eastAsia"/>
              </w:rPr>
            </w:pPr>
            <w:r>
              <w:rPr>
                <w:rFonts w:hint="eastAsia"/>
              </w:rPr>
              <w:t>管块顶及地面高、直埋缆顶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5" w:type="dxa"/>
            <w:vAlign w:val="center"/>
          </w:tcPr>
          <w:p>
            <w:pPr>
              <w:pStyle w:val="2"/>
              <w:rPr>
                <w:rFonts w:hint="eastAsia"/>
              </w:rPr>
            </w:pPr>
            <w:r>
              <w:rPr>
                <w:rFonts w:hint="eastAsia"/>
              </w:rPr>
              <w:t>燃气/输油管</w:t>
            </w:r>
          </w:p>
        </w:tc>
        <w:tc>
          <w:tcPr>
            <w:tcW w:w="1575" w:type="dxa"/>
            <w:vAlign w:val="center"/>
          </w:tcPr>
          <w:p>
            <w:pPr>
              <w:pStyle w:val="2"/>
              <w:rPr>
                <w:rFonts w:hint="eastAsia"/>
              </w:rPr>
            </w:pPr>
            <w:r>
              <w:rPr>
                <w:rFonts w:hint="eastAsia"/>
              </w:rPr>
              <w:t>煤气站、调压房、储气柜</w:t>
            </w:r>
          </w:p>
        </w:tc>
        <w:tc>
          <w:tcPr>
            <w:tcW w:w="1485" w:type="dxa"/>
            <w:vAlign w:val="center"/>
          </w:tcPr>
          <w:p>
            <w:pPr>
              <w:pStyle w:val="2"/>
              <w:rPr>
                <w:rFonts w:hint="eastAsia"/>
              </w:rPr>
            </w:pPr>
            <w:r>
              <w:rPr>
                <w:rFonts w:hint="eastAsia"/>
              </w:rPr>
              <w:t>弯头、变径点、多通点、预留口</w:t>
            </w:r>
          </w:p>
        </w:tc>
        <w:tc>
          <w:tcPr>
            <w:tcW w:w="1455" w:type="dxa"/>
            <w:vAlign w:val="center"/>
          </w:tcPr>
          <w:p>
            <w:pPr>
              <w:pStyle w:val="2"/>
              <w:rPr>
                <w:rFonts w:hint="eastAsia"/>
              </w:rPr>
            </w:pPr>
            <w:r>
              <w:rPr>
                <w:rFonts w:hint="eastAsia"/>
              </w:rPr>
              <w:t>阀门、凝水缸、各种调压箱、各种窨井</w:t>
            </w:r>
          </w:p>
        </w:tc>
        <w:tc>
          <w:tcPr>
            <w:tcW w:w="1155" w:type="dxa"/>
            <w:vAlign w:val="center"/>
          </w:tcPr>
          <w:p>
            <w:pPr>
              <w:pStyle w:val="2"/>
              <w:rPr>
                <w:rFonts w:hint="eastAsia"/>
              </w:rPr>
            </w:pPr>
            <w:r>
              <w:rPr>
                <w:rFonts w:hint="eastAsia"/>
              </w:rPr>
              <w:t>管径材质</w:t>
            </w:r>
          </w:p>
        </w:tc>
        <w:tc>
          <w:tcPr>
            <w:tcW w:w="1485" w:type="dxa"/>
            <w:vAlign w:val="center"/>
          </w:tcPr>
          <w:p>
            <w:pPr>
              <w:pStyle w:val="2"/>
              <w:rPr>
                <w:rFonts w:hint="eastAsia"/>
              </w:rPr>
            </w:pPr>
            <w:r>
              <w:rPr>
                <w:rFonts w:hint="eastAsia"/>
              </w:rPr>
              <w:t>管顶及地面高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65" w:type="dxa"/>
            <w:vAlign w:val="center"/>
          </w:tcPr>
          <w:p>
            <w:pPr>
              <w:pStyle w:val="2"/>
              <w:rPr>
                <w:rFonts w:hint="eastAsia"/>
              </w:rPr>
            </w:pPr>
            <w:r>
              <w:rPr>
                <w:rFonts w:hint="eastAsia"/>
              </w:rPr>
              <w:t>工业管道</w:t>
            </w:r>
          </w:p>
        </w:tc>
        <w:tc>
          <w:tcPr>
            <w:tcW w:w="1575" w:type="dxa"/>
            <w:vAlign w:val="center"/>
          </w:tcPr>
          <w:p>
            <w:pPr>
              <w:pStyle w:val="2"/>
              <w:rPr>
                <w:rFonts w:hint="eastAsia"/>
              </w:rPr>
            </w:pPr>
            <w:r>
              <w:rPr>
                <w:rFonts w:hint="eastAsia"/>
              </w:rPr>
              <w:t>锅炉房、换热站、动力站、储气罐、支架</w:t>
            </w:r>
          </w:p>
        </w:tc>
        <w:tc>
          <w:tcPr>
            <w:tcW w:w="1485" w:type="dxa"/>
            <w:vAlign w:val="center"/>
          </w:tcPr>
          <w:p>
            <w:pPr>
              <w:pStyle w:val="2"/>
              <w:rPr>
                <w:rFonts w:hint="eastAsia"/>
              </w:rPr>
            </w:pPr>
            <w:r>
              <w:rPr>
                <w:rFonts w:hint="eastAsia"/>
              </w:rPr>
              <w:t>弯头、变径点、多通点、预留口</w:t>
            </w:r>
          </w:p>
        </w:tc>
        <w:tc>
          <w:tcPr>
            <w:tcW w:w="1455" w:type="dxa"/>
            <w:vAlign w:val="center"/>
          </w:tcPr>
          <w:p>
            <w:pPr>
              <w:pStyle w:val="2"/>
              <w:rPr>
                <w:rFonts w:hint="eastAsia"/>
              </w:rPr>
            </w:pPr>
            <w:r>
              <w:rPr>
                <w:rFonts w:hint="eastAsia"/>
              </w:rPr>
              <w:t>阀门、检修井、疏水井、排液、排污装置</w:t>
            </w:r>
          </w:p>
        </w:tc>
        <w:tc>
          <w:tcPr>
            <w:tcW w:w="1155" w:type="dxa"/>
            <w:vAlign w:val="center"/>
          </w:tcPr>
          <w:p>
            <w:pPr>
              <w:pStyle w:val="2"/>
              <w:rPr>
                <w:rFonts w:hint="eastAsia"/>
              </w:rPr>
            </w:pPr>
            <w:r>
              <w:rPr>
                <w:rFonts w:hint="eastAsia"/>
              </w:rPr>
              <w:t>管径、材质</w:t>
            </w:r>
          </w:p>
        </w:tc>
        <w:tc>
          <w:tcPr>
            <w:tcW w:w="1485" w:type="dxa"/>
            <w:vAlign w:val="center"/>
          </w:tcPr>
          <w:p>
            <w:pPr>
              <w:pStyle w:val="2"/>
              <w:rPr>
                <w:rFonts w:hint="eastAsia"/>
              </w:rPr>
            </w:pPr>
            <w:r>
              <w:rPr>
                <w:rFonts w:hint="eastAsia"/>
              </w:rPr>
              <w:t>管顶及地面高</w:t>
            </w:r>
          </w:p>
        </w:tc>
      </w:tr>
    </w:tbl>
    <w:p>
      <w:pPr>
        <w:pStyle w:val="2"/>
        <w:ind w:left="0" w:leftChars="0" w:firstLine="0" w:firstLineChars="0"/>
        <w:rPr>
          <w:rFonts w:hint="eastAsia"/>
        </w:rPr>
      </w:pPr>
    </w:p>
    <w:p>
      <w:pPr>
        <w:pStyle w:val="2"/>
        <w:rPr>
          <w:rFonts w:hint="eastAsia"/>
        </w:rPr>
      </w:pPr>
      <w:r>
        <w:rPr>
          <w:rFonts w:hint="eastAsia"/>
          <w:lang w:val="en-US" w:eastAsia="zh-CN"/>
        </w:rPr>
        <w:t>2）</w:t>
      </w:r>
      <w:r>
        <w:rPr>
          <w:rFonts w:hint="eastAsia"/>
        </w:rPr>
        <w:t>管线测量要求</w:t>
      </w:r>
    </w:p>
    <w:p>
      <w:pPr>
        <w:pStyle w:val="2"/>
        <w:rPr>
          <w:rFonts w:hint="eastAsia"/>
        </w:rPr>
      </w:pPr>
      <w:r>
        <w:rPr>
          <w:rFonts w:hint="eastAsia"/>
        </w:rPr>
        <w:t>管线的探查精度按《规程》要求执行，管线探测精度：平面位置限差0.1h；埋深限差0.15h（h为地下管线的中心埋深）。地下管线测量精度：平面位置中误差不得大于5cm，高程中误差不得大于3cm。</w:t>
      </w:r>
    </w:p>
    <w:p>
      <w:pPr>
        <w:pStyle w:val="2"/>
        <w:rPr>
          <w:rFonts w:hint="eastAsia"/>
        </w:rPr>
      </w:pPr>
      <w:r>
        <w:rPr>
          <w:rFonts w:hint="eastAsia"/>
          <w:lang w:val="en-US" w:eastAsia="zh-CN"/>
        </w:rPr>
        <w:t>3）</w:t>
      </w:r>
      <w:r>
        <w:rPr>
          <w:rFonts w:hint="eastAsia"/>
        </w:rPr>
        <w:t>成果要求</w:t>
      </w:r>
    </w:p>
    <w:p>
      <w:pPr>
        <w:pStyle w:val="2"/>
        <w:rPr>
          <w:rFonts w:hint="eastAsia"/>
        </w:rPr>
      </w:pPr>
      <w:r>
        <w:rPr>
          <w:rFonts w:hint="eastAsia"/>
        </w:rPr>
        <w:t>管线的探查成果需有CAD图纸及excel表，在CAD图纸要求按各类管线分开图层表示，excel表中按各类管线分开列出成果数据。</w:t>
      </w:r>
    </w:p>
    <w:p>
      <w:pPr>
        <w:spacing w:line="480" w:lineRule="exact"/>
        <w:rPr>
          <w:rFonts w:ascii="宋体" w:hAnsi="宋体"/>
          <w:color w:val="000000"/>
          <w:szCs w:val="21"/>
        </w:rPr>
      </w:pPr>
      <w:r>
        <w:rPr>
          <w:rFonts w:hint="eastAsia" w:ascii="宋体" w:hAnsi="宋体"/>
          <w:color w:val="000000"/>
          <w:szCs w:val="21"/>
        </w:rPr>
        <w:t>附件一</w:t>
      </w:r>
    </w:p>
    <w:p>
      <w:pPr>
        <w:spacing w:line="480" w:lineRule="exact"/>
        <w:rPr>
          <w:rFonts w:ascii="宋体" w:hAnsi="宋体"/>
          <w:color w:val="000000"/>
          <w:szCs w:val="21"/>
        </w:rPr>
      </w:pPr>
      <w:r>
        <w:rPr>
          <w:rFonts w:hint="eastAsia" w:ascii="宋体" w:hAnsi="宋体"/>
          <w:color w:val="000000"/>
          <w:szCs w:val="21"/>
        </w:rPr>
        <w:t>投标报价</w:t>
      </w:r>
    </w:p>
    <w:p>
      <w:pPr>
        <w:spacing w:line="480" w:lineRule="exact"/>
        <w:rPr>
          <w:rFonts w:ascii="宋体" w:hAnsi="宋体"/>
          <w:color w:val="000000"/>
          <w:szCs w:val="21"/>
        </w:rPr>
      </w:pPr>
      <w:r>
        <w:rPr>
          <w:rFonts w:hint="eastAsia" w:ascii="宋体" w:hAnsi="宋体"/>
          <w:color w:val="000000"/>
          <w:szCs w:val="21"/>
        </w:rPr>
        <w:t>报总价，且不能超招标控制价，</w:t>
      </w:r>
      <w:r>
        <w:rPr>
          <w:rFonts w:hint="eastAsia" w:ascii="宋体" w:hAnsi="宋体"/>
          <w:color w:val="000000"/>
          <w:szCs w:val="21"/>
          <w:lang w:eastAsia="zh-CN"/>
        </w:rPr>
        <w:t>本项目勘察采用固定综合单价据实结算，物探为总价包干</w:t>
      </w:r>
      <w:r>
        <w:rPr>
          <w:rFonts w:hint="eastAsia" w:ascii="宋体" w:hAnsi="宋体"/>
          <w:color w:val="000000"/>
          <w:szCs w:val="21"/>
        </w:rPr>
        <w:t>。</w:t>
      </w:r>
    </w:p>
    <w:p>
      <w:pPr>
        <w:spacing w:line="480" w:lineRule="exact"/>
        <w:rPr>
          <w:rFonts w:ascii="宋体" w:hAnsi="宋体"/>
          <w:color w:val="000000"/>
          <w:szCs w:val="21"/>
        </w:rPr>
      </w:pPr>
      <w:r>
        <w:rPr>
          <w:rFonts w:hint="eastAsia" w:ascii="宋体" w:hAnsi="宋体"/>
          <w:color w:val="000000"/>
          <w:szCs w:val="21"/>
        </w:rPr>
        <w:t>格式自拟</w:t>
      </w:r>
    </w:p>
    <w:p>
      <w:pPr>
        <w:spacing w:line="480" w:lineRule="exact"/>
        <w:rPr>
          <w:rFonts w:ascii="宋体" w:hAnsi="宋体"/>
          <w:color w:val="000000"/>
          <w:szCs w:val="21"/>
        </w:rPr>
      </w:pPr>
    </w:p>
    <w:p>
      <w:pPr>
        <w:spacing w:line="480" w:lineRule="exact"/>
        <w:rPr>
          <w:rFonts w:ascii="宋体" w:hAnsi="宋体"/>
          <w:color w:val="000000"/>
          <w:szCs w:val="21"/>
        </w:rPr>
      </w:pPr>
      <w:r>
        <w:rPr>
          <w:rFonts w:hint="eastAsia" w:ascii="宋体" w:hAnsi="宋体"/>
          <w:color w:val="000000"/>
          <w:szCs w:val="21"/>
        </w:rPr>
        <w:t>附件二</w:t>
      </w:r>
    </w:p>
    <w:p>
      <w:pPr>
        <w:spacing w:line="480" w:lineRule="exact"/>
        <w:rPr>
          <w:rFonts w:ascii="宋体" w:hAnsi="宋体"/>
          <w:color w:val="000000"/>
          <w:szCs w:val="21"/>
        </w:rPr>
      </w:pPr>
      <w:r>
        <w:rPr>
          <w:rFonts w:hint="eastAsia" w:ascii="宋体" w:hAnsi="宋体"/>
          <w:color w:val="000000"/>
          <w:szCs w:val="21"/>
        </w:rPr>
        <w:t>资格证明文件</w:t>
      </w:r>
    </w:p>
    <w:p>
      <w:pPr>
        <w:spacing w:line="480" w:lineRule="exact"/>
        <w:rPr>
          <w:rFonts w:ascii="宋体" w:hAnsi="宋体"/>
          <w:color w:val="000000"/>
          <w:szCs w:val="21"/>
        </w:rPr>
      </w:pPr>
      <w:r>
        <w:rPr>
          <w:rFonts w:hint="eastAsia" w:ascii="宋体" w:hAnsi="宋体"/>
          <w:color w:val="000000"/>
          <w:szCs w:val="21"/>
        </w:rPr>
        <w:t>格式自拟</w:t>
      </w:r>
    </w:p>
    <w:p>
      <w:pPr>
        <w:spacing w:line="480" w:lineRule="exact"/>
        <w:rPr>
          <w:rFonts w:ascii="宋体" w:hAnsi="宋体"/>
          <w:color w:val="000000"/>
          <w:szCs w:val="21"/>
        </w:rPr>
      </w:pPr>
    </w:p>
    <w:p>
      <w:pPr>
        <w:spacing w:line="480" w:lineRule="exact"/>
        <w:rPr>
          <w:rFonts w:ascii="宋体" w:hAnsi="宋体"/>
          <w:color w:val="000000"/>
          <w:szCs w:val="21"/>
        </w:rPr>
      </w:pPr>
      <w:r>
        <w:rPr>
          <w:rFonts w:hint="eastAsia" w:ascii="宋体" w:hAnsi="宋体"/>
          <w:color w:val="000000"/>
          <w:szCs w:val="21"/>
        </w:rPr>
        <w:t>附件三</w:t>
      </w:r>
    </w:p>
    <w:p>
      <w:pPr>
        <w:spacing w:line="480" w:lineRule="exact"/>
        <w:rPr>
          <w:rFonts w:ascii="宋体" w:hAnsi="宋体"/>
          <w:color w:val="000000"/>
          <w:szCs w:val="21"/>
        </w:rPr>
      </w:pPr>
      <w:r>
        <w:rPr>
          <w:rFonts w:hint="eastAsia" w:ascii="宋体" w:hAnsi="宋体"/>
          <w:color w:val="000000"/>
          <w:szCs w:val="21"/>
        </w:rPr>
        <w:t>实施方案</w:t>
      </w:r>
    </w:p>
    <w:p>
      <w:pPr>
        <w:spacing w:line="480" w:lineRule="exact"/>
        <w:rPr>
          <w:rFonts w:ascii="宋体" w:hAnsi="宋体"/>
          <w:color w:val="000000"/>
          <w:szCs w:val="21"/>
        </w:rPr>
      </w:pPr>
      <w:r>
        <w:rPr>
          <w:rFonts w:hint="eastAsia" w:ascii="宋体" w:hAnsi="宋体"/>
          <w:color w:val="000000"/>
          <w:szCs w:val="21"/>
        </w:rPr>
        <w:t>格式自拟</w:t>
      </w:r>
    </w:p>
    <w:p>
      <w:pPr>
        <w:spacing w:line="480" w:lineRule="exact"/>
        <w:rPr>
          <w:rFonts w:ascii="宋体" w:hAnsi="宋体"/>
          <w:color w:val="000000"/>
          <w:szCs w:val="21"/>
        </w:rPr>
      </w:pPr>
    </w:p>
    <w:p>
      <w:pPr>
        <w:spacing w:line="480" w:lineRule="exact"/>
        <w:rPr>
          <w:rFonts w:ascii="宋体" w:hAnsi="宋体"/>
          <w:color w:val="000000"/>
          <w:szCs w:val="21"/>
        </w:rPr>
      </w:pPr>
      <w:r>
        <w:rPr>
          <w:rFonts w:hint="eastAsia" w:ascii="宋体" w:hAnsi="宋体"/>
          <w:color w:val="000000"/>
          <w:szCs w:val="21"/>
        </w:rPr>
        <w:t>附件四</w:t>
      </w:r>
    </w:p>
    <w:p>
      <w:pPr>
        <w:spacing w:line="480" w:lineRule="exact"/>
        <w:rPr>
          <w:rFonts w:ascii="宋体" w:hAnsi="宋体"/>
          <w:color w:val="000000"/>
          <w:szCs w:val="21"/>
        </w:rPr>
      </w:pPr>
      <w:r>
        <w:rPr>
          <w:rFonts w:hint="eastAsia" w:ascii="宋体" w:hAnsi="宋体"/>
          <w:color w:val="000000"/>
          <w:szCs w:val="21"/>
        </w:rPr>
        <w:t>技术文件</w:t>
      </w:r>
    </w:p>
    <w:p>
      <w:pPr>
        <w:spacing w:line="480" w:lineRule="exact"/>
        <w:rPr>
          <w:rFonts w:ascii="宋体" w:hAnsi="宋体"/>
          <w:color w:val="000000"/>
          <w:szCs w:val="21"/>
        </w:rPr>
      </w:pPr>
      <w:r>
        <w:rPr>
          <w:rFonts w:hint="eastAsia" w:ascii="宋体" w:hAnsi="宋体"/>
          <w:color w:val="000000"/>
          <w:szCs w:val="21"/>
        </w:rPr>
        <w:t>格式自拟</w:t>
      </w:r>
    </w:p>
    <w:p>
      <w:pPr>
        <w:spacing w:line="480" w:lineRule="exact"/>
        <w:rPr>
          <w:rFonts w:ascii="宋体" w:hAnsi="宋体"/>
          <w:color w:val="000000"/>
          <w:szCs w:val="21"/>
        </w:rPr>
      </w:pPr>
    </w:p>
    <w:sectPr>
      <w:footerReference r:id="rId3" w:type="default"/>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125126"/>
    </w:sdtPr>
    <w:sdtContent>
      <w:p>
        <w:pPr>
          <w:pStyle w:val="12"/>
          <w:jc w:val="center"/>
        </w:pPr>
        <w:r>
          <w:fldChar w:fldCharType="begin"/>
        </w:r>
        <w:r>
          <w:instrText xml:space="preserve"> PAGE   \* MERGEFORMAT </w:instrText>
        </w:r>
        <w:r>
          <w:fldChar w:fldCharType="separate"/>
        </w:r>
        <w:r>
          <w:rPr>
            <w:lang w:val="zh-CN"/>
          </w:rPr>
          <w:t>7</w:t>
        </w:r>
        <w:r>
          <w:rPr>
            <w:lang w:val="zh-CN"/>
          </w:rPr>
          <w:fldChar w:fldCharType="end"/>
        </w:r>
      </w:p>
    </w:sdtContent>
  </w:sdt>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E84D4F"/>
    <w:multiLevelType w:val="singleLevel"/>
    <w:tmpl w:val="62E84D4F"/>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U4ZTRkM2Q2YjM1NmY0MjgyY2Q4MWFhOWUwN2FkYjkifQ=="/>
  </w:docVars>
  <w:rsids>
    <w:rsidRoot w:val="00150BC1"/>
    <w:rsid w:val="00003ED6"/>
    <w:rsid w:val="0000717B"/>
    <w:rsid w:val="000100FA"/>
    <w:rsid w:val="00017C55"/>
    <w:rsid w:val="000200BC"/>
    <w:rsid w:val="00023660"/>
    <w:rsid w:val="00024528"/>
    <w:rsid w:val="000269E6"/>
    <w:rsid w:val="0003433C"/>
    <w:rsid w:val="000431D5"/>
    <w:rsid w:val="00045F29"/>
    <w:rsid w:val="000535A4"/>
    <w:rsid w:val="00057122"/>
    <w:rsid w:val="00061F76"/>
    <w:rsid w:val="00067926"/>
    <w:rsid w:val="00075A6E"/>
    <w:rsid w:val="000775A3"/>
    <w:rsid w:val="000811A4"/>
    <w:rsid w:val="00082E96"/>
    <w:rsid w:val="000904BD"/>
    <w:rsid w:val="00091842"/>
    <w:rsid w:val="000956DD"/>
    <w:rsid w:val="000A06EA"/>
    <w:rsid w:val="000A08EE"/>
    <w:rsid w:val="000C174F"/>
    <w:rsid w:val="000C179D"/>
    <w:rsid w:val="000C3D49"/>
    <w:rsid w:val="000D0EE1"/>
    <w:rsid w:val="000E1EB5"/>
    <w:rsid w:val="000E555D"/>
    <w:rsid w:val="000E7039"/>
    <w:rsid w:val="000F1841"/>
    <w:rsid w:val="000F6042"/>
    <w:rsid w:val="00113F16"/>
    <w:rsid w:val="001153FC"/>
    <w:rsid w:val="00116189"/>
    <w:rsid w:val="00117D49"/>
    <w:rsid w:val="001239C2"/>
    <w:rsid w:val="00137E2B"/>
    <w:rsid w:val="00150BC1"/>
    <w:rsid w:val="00153AED"/>
    <w:rsid w:val="00153D79"/>
    <w:rsid w:val="0015576B"/>
    <w:rsid w:val="001626F9"/>
    <w:rsid w:val="00171748"/>
    <w:rsid w:val="00184DAF"/>
    <w:rsid w:val="001870B7"/>
    <w:rsid w:val="001922BD"/>
    <w:rsid w:val="001963A0"/>
    <w:rsid w:val="001966DA"/>
    <w:rsid w:val="001979D4"/>
    <w:rsid w:val="001A0362"/>
    <w:rsid w:val="001B3F9F"/>
    <w:rsid w:val="001B487E"/>
    <w:rsid w:val="001C31CB"/>
    <w:rsid w:val="001C53B1"/>
    <w:rsid w:val="001C6C48"/>
    <w:rsid w:val="001C7D35"/>
    <w:rsid w:val="001D3C91"/>
    <w:rsid w:val="001D7C05"/>
    <w:rsid w:val="001D7F7F"/>
    <w:rsid w:val="001F41F5"/>
    <w:rsid w:val="001F47D4"/>
    <w:rsid w:val="001F5190"/>
    <w:rsid w:val="001F59B1"/>
    <w:rsid w:val="00204E2F"/>
    <w:rsid w:val="00204F2C"/>
    <w:rsid w:val="00207B50"/>
    <w:rsid w:val="002110F7"/>
    <w:rsid w:val="0022395D"/>
    <w:rsid w:val="00225C05"/>
    <w:rsid w:val="00226BD6"/>
    <w:rsid w:val="00233EC4"/>
    <w:rsid w:val="00245BAA"/>
    <w:rsid w:val="00245F93"/>
    <w:rsid w:val="00250619"/>
    <w:rsid w:val="00253779"/>
    <w:rsid w:val="002543E9"/>
    <w:rsid w:val="00255544"/>
    <w:rsid w:val="00255F8A"/>
    <w:rsid w:val="00256BBC"/>
    <w:rsid w:val="0026316A"/>
    <w:rsid w:val="002738E1"/>
    <w:rsid w:val="002812BF"/>
    <w:rsid w:val="0028383B"/>
    <w:rsid w:val="00286959"/>
    <w:rsid w:val="00286E54"/>
    <w:rsid w:val="00293135"/>
    <w:rsid w:val="00296996"/>
    <w:rsid w:val="002A62F9"/>
    <w:rsid w:val="002A734B"/>
    <w:rsid w:val="002A7FCD"/>
    <w:rsid w:val="002B19A0"/>
    <w:rsid w:val="002B4489"/>
    <w:rsid w:val="002B457E"/>
    <w:rsid w:val="002B783B"/>
    <w:rsid w:val="002C1046"/>
    <w:rsid w:val="002C1BA8"/>
    <w:rsid w:val="002C26B2"/>
    <w:rsid w:val="002C6245"/>
    <w:rsid w:val="002C6E71"/>
    <w:rsid w:val="002D6396"/>
    <w:rsid w:val="002E68F4"/>
    <w:rsid w:val="002E783A"/>
    <w:rsid w:val="002F2F8E"/>
    <w:rsid w:val="002F3D8A"/>
    <w:rsid w:val="002F4024"/>
    <w:rsid w:val="002F45C9"/>
    <w:rsid w:val="002F5F63"/>
    <w:rsid w:val="00302ED0"/>
    <w:rsid w:val="00307E7B"/>
    <w:rsid w:val="003105D6"/>
    <w:rsid w:val="00314EED"/>
    <w:rsid w:val="0031542B"/>
    <w:rsid w:val="00326320"/>
    <w:rsid w:val="00331AF5"/>
    <w:rsid w:val="0033242A"/>
    <w:rsid w:val="00332D92"/>
    <w:rsid w:val="0034140F"/>
    <w:rsid w:val="003446C0"/>
    <w:rsid w:val="00352496"/>
    <w:rsid w:val="0035405F"/>
    <w:rsid w:val="003556A4"/>
    <w:rsid w:val="00356EFA"/>
    <w:rsid w:val="003608EF"/>
    <w:rsid w:val="00361254"/>
    <w:rsid w:val="00361721"/>
    <w:rsid w:val="0036268A"/>
    <w:rsid w:val="00365416"/>
    <w:rsid w:val="00371E14"/>
    <w:rsid w:val="00373FDD"/>
    <w:rsid w:val="00381534"/>
    <w:rsid w:val="0038366F"/>
    <w:rsid w:val="003903F9"/>
    <w:rsid w:val="003934D1"/>
    <w:rsid w:val="003942DC"/>
    <w:rsid w:val="00394E96"/>
    <w:rsid w:val="00395A17"/>
    <w:rsid w:val="003A0810"/>
    <w:rsid w:val="003A13FA"/>
    <w:rsid w:val="003B21E0"/>
    <w:rsid w:val="003B3B85"/>
    <w:rsid w:val="003C241B"/>
    <w:rsid w:val="003C3C55"/>
    <w:rsid w:val="003C6418"/>
    <w:rsid w:val="003D199D"/>
    <w:rsid w:val="003E7549"/>
    <w:rsid w:val="003F1ED8"/>
    <w:rsid w:val="003F584B"/>
    <w:rsid w:val="003F730A"/>
    <w:rsid w:val="00401C35"/>
    <w:rsid w:val="00411A0E"/>
    <w:rsid w:val="00422533"/>
    <w:rsid w:val="00432732"/>
    <w:rsid w:val="004335CF"/>
    <w:rsid w:val="00434EDF"/>
    <w:rsid w:val="00437512"/>
    <w:rsid w:val="00440B4A"/>
    <w:rsid w:val="0044420B"/>
    <w:rsid w:val="00457802"/>
    <w:rsid w:val="00467BB1"/>
    <w:rsid w:val="00472AA4"/>
    <w:rsid w:val="00481DC7"/>
    <w:rsid w:val="0048420B"/>
    <w:rsid w:val="004852FC"/>
    <w:rsid w:val="004871C6"/>
    <w:rsid w:val="004A03D3"/>
    <w:rsid w:val="004A207B"/>
    <w:rsid w:val="004B2854"/>
    <w:rsid w:val="004C1A06"/>
    <w:rsid w:val="004C6125"/>
    <w:rsid w:val="004D702B"/>
    <w:rsid w:val="004E0CF7"/>
    <w:rsid w:val="004F1352"/>
    <w:rsid w:val="004F76B2"/>
    <w:rsid w:val="0050268E"/>
    <w:rsid w:val="00505D23"/>
    <w:rsid w:val="00511606"/>
    <w:rsid w:val="00512CE8"/>
    <w:rsid w:val="00517C0B"/>
    <w:rsid w:val="00524BC4"/>
    <w:rsid w:val="00525E80"/>
    <w:rsid w:val="00531085"/>
    <w:rsid w:val="00534372"/>
    <w:rsid w:val="00553EDA"/>
    <w:rsid w:val="00563C1C"/>
    <w:rsid w:val="00565D41"/>
    <w:rsid w:val="0056651F"/>
    <w:rsid w:val="00567AAE"/>
    <w:rsid w:val="00572332"/>
    <w:rsid w:val="005727D1"/>
    <w:rsid w:val="005738E6"/>
    <w:rsid w:val="00575DFC"/>
    <w:rsid w:val="005816D9"/>
    <w:rsid w:val="0058307C"/>
    <w:rsid w:val="00586884"/>
    <w:rsid w:val="005875BD"/>
    <w:rsid w:val="00594DB5"/>
    <w:rsid w:val="005A577A"/>
    <w:rsid w:val="005A7482"/>
    <w:rsid w:val="005C5394"/>
    <w:rsid w:val="005C6557"/>
    <w:rsid w:val="005D60D7"/>
    <w:rsid w:val="005D74CD"/>
    <w:rsid w:val="005E4FB6"/>
    <w:rsid w:val="005E679B"/>
    <w:rsid w:val="005E77A8"/>
    <w:rsid w:val="005E7ADC"/>
    <w:rsid w:val="005F39A2"/>
    <w:rsid w:val="005F496F"/>
    <w:rsid w:val="00604EDC"/>
    <w:rsid w:val="00611B56"/>
    <w:rsid w:val="006123CF"/>
    <w:rsid w:val="00613307"/>
    <w:rsid w:val="00614361"/>
    <w:rsid w:val="0061476F"/>
    <w:rsid w:val="0062671A"/>
    <w:rsid w:val="00634ABE"/>
    <w:rsid w:val="00640123"/>
    <w:rsid w:val="0064314D"/>
    <w:rsid w:val="006471FE"/>
    <w:rsid w:val="00650479"/>
    <w:rsid w:val="006508A3"/>
    <w:rsid w:val="006578C5"/>
    <w:rsid w:val="00662291"/>
    <w:rsid w:val="0066322A"/>
    <w:rsid w:val="00676240"/>
    <w:rsid w:val="00685290"/>
    <w:rsid w:val="00693C80"/>
    <w:rsid w:val="00694ACE"/>
    <w:rsid w:val="006A4B20"/>
    <w:rsid w:val="006A7ADE"/>
    <w:rsid w:val="006B0375"/>
    <w:rsid w:val="006B0E03"/>
    <w:rsid w:val="006B6D50"/>
    <w:rsid w:val="006D2525"/>
    <w:rsid w:val="006D3894"/>
    <w:rsid w:val="006D4AFF"/>
    <w:rsid w:val="006E0C67"/>
    <w:rsid w:val="006E166C"/>
    <w:rsid w:val="006E18F4"/>
    <w:rsid w:val="006E5698"/>
    <w:rsid w:val="006E7A74"/>
    <w:rsid w:val="006F5A86"/>
    <w:rsid w:val="00702466"/>
    <w:rsid w:val="00707F36"/>
    <w:rsid w:val="00711C6A"/>
    <w:rsid w:val="007216B1"/>
    <w:rsid w:val="0072336F"/>
    <w:rsid w:val="007245CF"/>
    <w:rsid w:val="00727784"/>
    <w:rsid w:val="0073051A"/>
    <w:rsid w:val="0073190D"/>
    <w:rsid w:val="007476FB"/>
    <w:rsid w:val="007508D4"/>
    <w:rsid w:val="00762A8D"/>
    <w:rsid w:val="00765730"/>
    <w:rsid w:val="007720D2"/>
    <w:rsid w:val="007810AD"/>
    <w:rsid w:val="00791207"/>
    <w:rsid w:val="007936AC"/>
    <w:rsid w:val="0079740D"/>
    <w:rsid w:val="007978E6"/>
    <w:rsid w:val="007A01EA"/>
    <w:rsid w:val="007A403D"/>
    <w:rsid w:val="007A6D35"/>
    <w:rsid w:val="007A6D9A"/>
    <w:rsid w:val="007B1D3B"/>
    <w:rsid w:val="007B1E5E"/>
    <w:rsid w:val="007B5B87"/>
    <w:rsid w:val="007C0026"/>
    <w:rsid w:val="007C752F"/>
    <w:rsid w:val="007D1B6D"/>
    <w:rsid w:val="007D1E41"/>
    <w:rsid w:val="007E6F92"/>
    <w:rsid w:val="007F2D9E"/>
    <w:rsid w:val="007F43D8"/>
    <w:rsid w:val="007F5FE5"/>
    <w:rsid w:val="0080149C"/>
    <w:rsid w:val="0080183B"/>
    <w:rsid w:val="00802463"/>
    <w:rsid w:val="008027E0"/>
    <w:rsid w:val="0080616B"/>
    <w:rsid w:val="00810906"/>
    <w:rsid w:val="0081703A"/>
    <w:rsid w:val="00822855"/>
    <w:rsid w:val="008233CE"/>
    <w:rsid w:val="008235DC"/>
    <w:rsid w:val="0082383B"/>
    <w:rsid w:val="008251B6"/>
    <w:rsid w:val="008359C6"/>
    <w:rsid w:val="008363F8"/>
    <w:rsid w:val="008449CD"/>
    <w:rsid w:val="008531A9"/>
    <w:rsid w:val="00856D3C"/>
    <w:rsid w:val="00867658"/>
    <w:rsid w:val="00872226"/>
    <w:rsid w:val="0088283D"/>
    <w:rsid w:val="00883E3E"/>
    <w:rsid w:val="00886B79"/>
    <w:rsid w:val="00887550"/>
    <w:rsid w:val="008902F6"/>
    <w:rsid w:val="008904D1"/>
    <w:rsid w:val="00892D03"/>
    <w:rsid w:val="008956F3"/>
    <w:rsid w:val="008A11F5"/>
    <w:rsid w:val="008A1215"/>
    <w:rsid w:val="008A18C1"/>
    <w:rsid w:val="008B21A8"/>
    <w:rsid w:val="008B5FD7"/>
    <w:rsid w:val="008B6386"/>
    <w:rsid w:val="008B6682"/>
    <w:rsid w:val="008D194E"/>
    <w:rsid w:val="008D2395"/>
    <w:rsid w:val="008D25C5"/>
    <w:rsid w:val="008D3B8D"/>
    <w:rsid w:val="008E35DB"/>
    <w:rsid w:val="008E7366"/>
    <w:rsid w:val="00905BDF"/>
    <w:rsid w:val="00907763"/>
    <w:rsid w:val="0091624D"/>
    <w:rsid w:val="00921E7C"/>
    <w:rsid w:val="00923558"/>
    <w:rsid w:val="009466B2"/>
    <w:rsid w:val="009469D3"/>
    <w:rsid w:val="00951458"/>
    <w:rsid w:val="00951F50"/>
    <w:rsid w:val="00952893"/>
    <w:rsid w:val="0095547F"/>
    <w:rsid w:val="009578A4"/>
    <w:rsid w:val="009606A9"/>
    <w:rsid w:val="00967116"/>
    <w:rsid w:val="009720B1"/>
    <w:rsid w:val="009A125C"/>
    <w:rsid w:val="009A4FDF"/>
    <w:rsid w:val="009B36EE"/>
    <w:rsid w:val="009B5F38"/>
    <w:rsid w:val="009B6DDA"/>
    <w:rsid w:val="009C0C2A"/>
    <w:rsid w:val="009C54ED"/>
    <w:rsid w:val="009C75BC"/>
    <w:rsid w:val="009C7F75"/>
    <w:rsid w:val="009D2C20"/>
    <w:rsid w:val="009D3844"/>
    <w:rsid w:val="009D4253"/>
    <w:rsid w:val="009E425F"/>
    <w:rsid w:val="009E44DE"/>
    <w:rsid w:val="009E746E"/>
    <w:rsid w:val="009E7D48"/>
    <w:rsid w:val="009F17D3"/>
    <w:rsid w:val="00A00515"/>
    <w:rsid w:val="00A01708"/>
    <w:rsid w:val="00A03484"/>
    <w:rsid w:val="00A073A5"/>
    <w:rsid w:val="00A13F77"/>
    <w:rsid w:val="00A1565E"/>
    <w:rsid w:val="00A22656"/>
    <w:rsid w:val="00A23383"/>
    <w:rsid w:val="00A23E81"/>
    <w:rsid w:val="00A26511"/>
    <w:rsid w:val="00A34A08"/>
    <w:rsid w:val="00A36CAC"/>
    <w:rsid w:val="00A42E37"/>
    <w:rsid w:val="00A43757"/>
    <w:rsid w:val="00A54800"/>
    <w:rsid w:val="00A610DE"/>
    <w:rsid w:val="00A65B8B"/>
    <w:rsid w:val="00A662FC"/>
    <w:rsid w:val="00A670DB"/>
    <w:rsid w:val="00A72CBD"/>
    <w:rsid w:val="00A84D0A"/>
    <w:rsid w:val="00A90BB1"/>
    <w:rsid w:val="00A931F0"/>
    <w:rsid w:val="00A93A2A"/>
    <w:rsid w:val="00A943C8"/>
    <w:rsid w:val="00AB365E"/>
    <w:rsid w:val="00AB5E19"/>
    <w:rsid w:val="00AB68C3"/>
    <w:rsid w:val="00AB6B1D"/>
    <w:rsid w:val="00AC5208"/>
    <w:rsid w:val="00AC5679"/>
    <w:rsid w:val="00AD083E"/>
    <w:rsid w:val="00AD19F7"/>
    <w:rsid w:val="00AD66E4"/>
    <w:rsid w:val="00AE3D29"/>
    <w:rsid w:val="00AE7AE4"/>
    <w:rsid w:val="00AF078C"/>
    <w:rsid w:val="00AF1CEA"/>
    <w:rsid w:val="00AF2DC8"/>
    <w:rsid w:val="00B0724D"/>
    <w:rsid w:val="00B0742D"/>
    <w:rsid w:val="00B12801"/>
    <w:rsid w:val="00B15B4E"/>
    <w:rsid w:val="00B2209A"/>
    <w:rsid w:val="00B23BA6"/>
    <w:rsid w:val="00B315EA"/>
    <w:rsid w:val="00B3402F"/>
    <w:rsid w:val="00B426AC"/>
    <w:rsid w:val="00B45065"/>
    <w:rsid w:val="00B5136D"/>
    <w:rsid w:val="00B62012"/>
    <w:rsid w:val="00B62535"/>
    <w:rsid w:val="00B71503"/>
    <w:rsid w:val="00B72402"/>
    <w:rsid w:val="00B91B33"/>
    <w:rsid w:val="00BA23B4"/>
    <w:rsid w:val="00BA3033"/>
    <w:rsid w:val="00BA57B3"/>
    <w:rsid w:val="00BA65A4"/>
    <w:rsid w:val="00BA70E5"/>
    <w:rsid w:val="00BB130E"/>
    <w:rsid w:val="00BB58BF"/>
    <w:rsid w:val="00BC10BE"/>
    <w:rsid w:val="00BC1805"/>
    <w:rsid w:val="00BC1CD4"/>
    <w:rsid w:val="00BC5473"/>
    <w:rsid w:val="00BE2C66"/>
    <w:rsid w:val="00BE521B"/>
    <w:rsid w:val="00BF0032"/>
    <w:rsid w:val="00BF2D5D"/>
    <w:rsid w:val="00BF69DD"/>
    <w:rsid w:val="00C001C0"/>
    <w:rsid w:val="00C13847"/>
    <w:rsid w:val="00C150AE"/>
    <w:rsid w:val="00C16469"/>
    <w:rsid w:val="00C376FF"/>
    <w:rsid w:val="00C41A38"/>
    <w:rsid w:val="00C43587"/>
    <w:rsid w:val="00C65480"/>
    <w:rsid w:val="00C76A9F"/>
    <w:rsid w:val="00C85ADD"/>
    <w:rsid w:val="00C90DE7"/>
    <w:rsid w:val="00C9360D"/>
    <w:rsid w:val="00C93B53"/>
    <w:rsid w:val="00C9785F"/>
    <w:rsid w:val="00CB63ED"/>
    <w:rsid w:val="00CC1929"/>
    <w:rsid w:val="00CC2C16"/>
    <w:rsid w:val="00CD2948"/>
    <w:rsid w:val="00CD3B9E"/>
    <w:rsid w:val="00CD7DD8"/>
    <w:rsid w:val="00CE40B4"/>
    <w:rsid w:val="00CF0610"/>
    <w:rsid w:val="00CF0B81"/>
    <w:rsid w:val="00CF487F"/>
    <w:rsid w:val="00CF683D"/>
    <w:rsid w:val="00D01A89"/>
    <w:rsid w:val="00D044D0"/>
    <w:rsid w:val="00D1002B"/>
    <w:rsid w:val="00D10F21"/>
    <w:rsid w:val="00D13A46"/>
    <w:rsid w:val="00D43162"/>
    <w:rsid w:val="00D53959"/>
    <w:rsid w:val="00D57261"/>
    <w:rsid w:val="00D6605D"/>
    <w:rsid w:val="00D67FAB"/>
    <w:rsid w:val="00D700BB"/>
    <w:rsid w:val="00D722F2"/>
    <w:rsid w:val="00D77521"/>
    <w:rsid w:val="00D80A81"/>
    <w:rsid w:val="00D82E8A"/>
    <w:rsid w:val="00D848FD"/>
    <w:rsid w:val="00DA1864"/>
    <w:rsid w:val="00DA294E"/>
    <w:rsid w:val="00DB128A"/>
    <w:rsid w:val="00DB3BEC"/>
    <w:rsid w:val="00DC18B2"/>
    <w:rsid w:val="00DC278B"/>
    <w:rsid w:val="00DC4818"/>
    <w:rsid w:val="00DD3061"/>
    <w:rsid w:val="00DF02D5"/>
    <w:rsid w:val="00E07D00"/>
    <w:rsid w:val="00E07D1D"/>
    <w:rsid w:val="00E12D94"/>
    <w:rsid w:val="00E20802"/>
    <w:rsid w:val="00E21C8A"/>
    <w:rsid w:val="00E220EB"/>
    <w:rsid w:val="00E3168B"/>
    <w:rsid w:val="00E40E7C"/>
    <w:rsid w:val="00E40F80"/>
    <w:rsid w:val="00E422E7"/>
    <w:rsid w:val="00E45CBF"/>
    <w:rsid w:val="00E51C35"/>
    <w:rsid w:val="00E55536"/>
    <w:rsid w:val="00E81197"/>
    <w:rsid w:val="00E83118"/>
    <w:rsid w:val="00E851BA"/>
    <w:rsid w:val="00E86178"/>
    <w:rsid w:val="00E9668B"/>
    <w:rsid w:val="00EA0E8D"/>
    <w:rsid w:val="00EA177F"/>
    <w:rsid w:val="00EA64C0"/>
    <w:rsid w:val="00EB030F"/>
    <w:rsid w:val="00EB03A8"/>
    <w:rsid w:val="00ED25E8"/>
    <w:rsid w:val="00EF7CEB"/>
    <w:rsid w:val="00F01D67"/>
    <w:rsid w:val="00F11ACC"/>
    <w:rsid w:val="00F21BBD"/>
    <w:rsid w:val="00F2755B"/>
    <w:rsid w:val="00F3063F"/>
    <w:rsid w:val="00F35CAC"/>
    <w:rsid w:val="00F35E77"/>
    <w:rsid w:val="00F42849"/>
    <w:rsid w:val="00F42C15"/>
    <w:rsid w:val="00F447ED"/>
    <w:rsid w:val="00F47B67"/>
    <w:rsid w:val="00F47BE1"/>
    <w:rsid w:val="00F561A0"/>
    <w:rsid w:val="00F623C1"/>
    <w:rsid w:val="00F6277B"/>
    <w:rsid w:val="00F6406B"/>
    <w:rsid w:val="00F8401A"/>
    <w:rsid w:val="00F90B47"/>
    <w:rsid w:val="00F91633"/>
    <w:rsid w:val="00F92650"/>
    <w:rsid w:val="00F93B8B"/>
    <w:rsid w:val="00F97059"/>
    <w:rsid w:val="00FA6B98"/>
    <w:rsid w:val="00FB3522"/>
    <w:rsid w:val="00FB506C"/>
    <w:rsid w:val="00FB65E5"/>
    <w:rsid w:val="00FC0938"/>
    <w:rsid w:val="00FC733A"/>
    <w:rsid w:val="00FE25B0"/>
    <w:rsid w:val="00FE2F39"/>
    <w:rsid w:val="00FF2454"/>
    <w:rsid w:val="00FF711F"/>
    <w:rsid w:val="00FF79BD"/>
    <w:rsid w:val="01862516"/>
    <w:rsid w:val="05032BE9"/>
    <w:rsid w:val="07B50A1E"/>
    <w:rsid w:val="0A1246B0"/>
    <w:rsid w:val="0B3F14D4"/>
    <w:rsid w:val="0EA33B28"/>
    <w:rsid w:val="0EFA3365"/>
    <w:rsid w:val="104F7772"/>
    <w:rsid w:val="17CE4D52"/>
    <w:rsid w:val="1AEC4B3A"/>
    <w:rsid w:val="1B641070"/>
    <w:rsid w:val="21FD6B34"/>
    <w:rsid w:val="229D0946"/>
    <w:rsid w:val="2BF81500"/>
    <w:rsid w:val="2E642E7C"/>
    <w:rsid w:val="2F033F15"/>
    <w:rsid w:val="312430A9"/>
    <w:rsid w:val="319E0453"/>
    <w:rsid w:val="356D0135"/>
    <w:rsid w:val="3579545F"/>
    <w:rsid w:val="3EA23AC2"/>
    <w:rsid w:val="41B97839"/>
    <w:rsid w:val="43251412"/>
    <w:rsid w:val="473D6778"/>
    <w:rsid w:val="48623B31"/>
    <w:rsid w:val="4BE259AD"/>
    <w:rsid w:val="4DF86CCA"/>
    <w:rsid w:val="50F43794"/>
    <w:rsid w:val="51F77D5D"/>
    <w:rsid w:val="52996E86"/>
    <w:rsid w:val="57723665"/>
    <w:rsid w:val="59D26D5A"/>
    <w:rsid w:val="5B7619ED"/>
    <w:rsid w:val="5C1169E4"/>
    <w:rsid w:val="5C8005D2"/>
    <w:rsid w:val="5D600B2F"/>
    <w:rsid w:val="60356884"/>
    <w:rsid w:val="62EE40D6"/>
    <w:rsid w:val="631E5B99"/>
    <w:rsid w:val="65BD63F3"/>
    <w:rsid w:val="67DA3E2F"/>
    <w:rsid w:val="6C16685D"/>
    <w:rsid w:val="730F68EF"/>
    <w:rsid w:val="73486CB1"/>
    <w:rsid w:val="735F75A6"/>
    <w:rsid w:val="73A73F2E"/>
    <w:rsid w:val="75703482"/>
    <w:rsid w:val="77AA4606"/>
    <w:rsid w:val="77CD5B00"/>
    <w:rsid w:val="79144124"/>
    <w:rsid w:val="79674B9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1" w:semiHidden="0" w:name="heading 3"/>
    <w:lsdException w:qFormat="1" w:uiPriority="9" w:name="heading 4"/>
    <w:lsdException w:qFormat="1" w:uiPriority="9"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4">
    <w:name w:val="heading 2"/>
    <w:basedOn w:val="1"/>
    <w:next w:val="1"/>
    <w:link w:val="23"/>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qFormat/>
    <w:uiPriority w:val="1"/>
    <w:pPr>
      <w:spacing w:before="34"/>
      <w:ind w:left="113"/>
      <w:outlineLvl w:val="2"/>
    </w:pPr>
    <w:rPr>
      <w:rFonts w:ascii="宋体" w:hAnsi="宋体" w:eastAsia="宋体"/>
      <w:b/>
      <w:bCs/>
      <w:sz w:val="24"/>
      <w:szCs w:val="24"/>
    </w:rPr>
  </w:style>
  <w:style w:type="paragraph" w:styleId="6">
    <w:name w:val="heading 6"/>
    <w:basedOn w:val="1"/>
    <w:next w:val="1"/>
    <w:link w:val="26"/>
    <w:qFormat/>
    <w:uiPriority w:val="9"/>
    <w:pPr>
      <w:widowControl/>
      <w:spacing w:before="100" w:beforeAutospacing="1" w:after="100" w:afterAutospacing="1"/>
      <w:jc w:val="left"/>
      <w:outlineLvl w:val="5"/>
    </w:pPr>
    <w:rPr>
      <w:rFonts w:ascii="宋体" w:hAnsi="宋体" w:eastAsia="宋体" w:cs="宋体"/>
      <w:b/>
      <w:bCs/>
      <w:kern w:val="0"/>
      <w:sz w:val="15"/>
      <w:szCs w:val="15"/>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39"/>
    <w:pPr>
      <w:spacing w:before="154"/>
      <w:ind w:left="6"/>
    </w:pPr>
    <w:rPr>
      <w:rFonts w:ascii="宋体" w:hAnsi="宋体" w:eastAsia="宋体"/>
      <w:sz w:val="24"/>
      <w:szCs w:val="24"/>
    </w:rPr>
  </w:style>
  <w:style w:type="paragraph" w:styleId="7">
    <w:name w:val="annotation text"/>
    <w:basedOn w:val="1"/>
    <w:link w:val="28"/>
    <w:semiHidden/>
    <w:unhideWhenUsed/>
    <w:qFormat/>
    <w:uiPriority w:val="99"/>
    <w:pPr>
      <w:jc w:val="left"/>
    </w:pPr>
  </w:style>
  <w:style w:type="paragraph" w:styleId="8">
    <w:name w:val="Body Text"/>
    <w:basedOn w:val="1"/>
    <w:link w:val="37"/>
    <w:semiHidden/>
    <w:unhideWhenUsed/>
    <w:qFormat/>
    <w:uiPriority w:val="99"/>
    <w:pPr>
      <w:spacing w:after="120"/>
    </w:pPr>
  </w:style>
  <w:style w:type="paragraph" w:styleId="9">
    <w:name w:val="Body Text Indent"/>
    <w:basedOn w:val="1"/>
    <w:link w:val="31"/>
    <w:qFormat/>
    <w:uiPriority w:val="0"/>
    <w:pPr>
      <w:ind w:firstLine="830" w:firstLineChars="352"/>
    </w:pPr>
    <w:rPr>
      <w:rFonts w:ascii="仿宋_GB2312" w:eastAsia="仿宋_GB2312"/>
      <w:sz w:val="32"/>
    </w:rPr>
  </w:style>
  <w:style w:type="paragraph" w:styleId="10">
    <w:name w:val="Plain Text"/>
    <w:basedOn w:val="1"/>
    <w:link w:val="32"/>
    <w:qFormat/>
    <w:uiPriority w:val="0"/>
    <w:rPr>
      <w:rFonts w:ascii="宋体" w:hAnsi="Courier New" w:eastAsia="宋体" w:cs="Courier New"/>
      <w:szCs w:val="21"/>
    </w:rPr>
  </w:style>
  <w:style w:type="paragraph" w:styleId="11">
    <w:name w:val="Balloon Text"/>
    <w:basedOn w:val="1"/>
    <w:link w:val="30"/>
    <w:semiHidden/>
    <w:unhideWhenUsed/>
    <w:qFormat/>
    <w:uiPriority w:val="99"/>
    <w:rPr>
      <w:sz w:val="18"/>
      <w:szCs w:val="18"/>
    </w:rPr>
  </w:style>
  <w:style w:type="paragraph" w:styleId="12">
    <w:name w:val="footer"/>
    <w:basedOn w:val="1"/>
    <w:link w:val="25"/>
    <w:unhideWhenUsed/>
    <w:qFormat/>
    <w:uiPriority w:val="99"/>
    <w:pPr>
      <w:tabs>
        <w:tab w:val="center" w:pos="4153"/>
        <w:tab w:val="right" w:pos="8306"/>
      </w:tabs>
      <w:snapToGrid w:val="0"/>
      <w:jc w:val="left"/>
    </w:pPr>
    <w:rPr>
      <w:sz w:val="18"/>
      <w:szCs w:val="18"/>
    </w:rPr>
  </w:style>
  <w:style w:type="paragraph" w:styleId="13">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5">
    <w:name w:val="annotation subject"/>
    <w:basedOn w:val="7"/>
    <w:next w:val="7"/>
    <w:link w:val="29"/>
    <w:semiHidden/>
    <w:unhideWhenUsed/>
    <w:qFormat/>
    <w:uiPriority w:val="99"/>
    <w:rPr>
      <w:b/>
      <w:bCs/>
    </w:r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22"/>
    <w:rPr>
      <w:b/>
      <w:bCs/>
    </w:rPr>
  </w:style>
  <w:style w:type="character" w:styleId="20">
    <w:name w:val="Hyperlink"/>
    <w:basedOn w:val="18"/>
    <w:unhideWhenUsed/>
    <w:qFormat/>
    <w:uiPriority w:val="99"/>
    <w:rPr>
      <w:color w:val="0000FF"/>
      <w:u w:val="single"/>
    </w:rPr>
  </w:style>
  <w:style w:type="character" w:styleId="21">
    <w:name w:val="annotation reference"/>
    <w:basedOn w:val="18"/>
    <w:semiHidden/>
    <w:unhideWhenUsed/>
    <w:qFormat/>
    <w:uiPriority w:val="99"/>
    <w:rPr>
      <w:sz w:val="21"/>
      <w:szCs w:val="21"/>
    </w:rPr>
  </w:style>
  <w:style w:type="character" w:customStyle="1" w:styleId="22">
    <w:name w:val="标题 1 Char"/>
    <w:basedOn w:val="18"/>
    <w:link w:val="3"/>
    <w:qFormat/>
    <w:uiPriority w:val="9"/>
    <w:rPr>
      <w:rFonts w:ascii="宋体" w:hAnsi="宋体" w:eastAsia="宋体" w:cs="宋体"/>
      <w:b/>
      <w:bCs/>
      <w:kern w:val="36"/>
      <w:sz w:val="48"/>
      <w:szCs w:val="48"/>
    </w:rPr>
  </w:style>
  <w:style w:type="character" w:customStyle="1" w:styleId="23">
    <w:name w:val="标题 2 Char"/>
    <w:basedOn w:val="18"/>
    <w:link w:val="4"/>
    <w:semiHidden/>
    <w:qFormat/>
    <w:uiPriority w:val="9"/>
    <w:rPr>
      <w:rFonts w:asciiTheme="majorHAnsi" w:hAnsiTheme="majorHAnsi" w:eastAsiaTheme="majorEastAsia" w:cstheme="majorBidi"/>
      <w:b/>
      <w:bCs/>
      <w:sz w:val="32"/>
      <w:szCs w:val="32"/>
    </w:rPr>
  </w:style>
  <w:style w:type="character" w:customStyle="1" w:styleId="24">
    <w:name w:val="页眉 Char"/>
    <w:basedOn w:val="18"/>
    <w:link w:val="13"/>
    <w:qFormat/>
    <w:uiPriority w:val="99"/>
    <w:rPr>
      <w:sz w:val="18"/>
      <w:szCs w:val="18"/>
    </w:rPr>
  </w:style>
  <w:style w:type="character" w:customStyle="1" w:styleId="25">
    <w:name w:val="页脚 Char"/>
    <w:basedOn w:val="18"/>
    <w:link w:val="12"/>
    <w:qFormat/>
    <w:uiPriority w:val="99"/>
    <w:rPr>
      <w:sz w:val="18"/>
      <w:szCs w:val="18"/>
    </w:rPr>
  </w:style>
  <w:style w:type="character" w:customStyle="1" w:styleId="26">
    <w:name w:val="标题 6 Char"/>
    <w:basedOn w:val="18"/>
    <w:link w:val="6"/>
    <w:qFormat/>
    <w:uiPriority w:val="9"/>
    <w:rPr>
      <w:rFonts w:ascii="宋体" w:hAnsi="宋体" w:eastAsia="宋体" w:cs="宋体"/>
      <w:b/>
      <w:bCs/>
      <w:kern w:val="0"/>
      <w:sz w:val="15"/>
      <w:szCs w:val="15"/>
    </w:rPr>
  </w:style>
  <w:style w:type="character" w:customStyle="1" w:styleId="27">
    <w:name w:val="wp_visitcount"/>
    <w:basedOn w:val="18"/>
    <w:qFormat/>
    <w:uiPriority w:val="0"/>
  </w:style>
  <w:style w:type="character" w:customStyle="1" w:styleId="28">
    <w:name w:val="批注文字 Char"/>
    <w:basedOn w:val="18"/>
    <w:link w:val="7"/>
    <w:semiHidden/>
    <w:qFormat/>
    <w:uiPriority w:val="99"/>
  </w:style>
  <w:style w:type="character" w:customStyle="1" w:styleId="29">
    <w:name w:val="批注主题 Char"/>
    <w:basedOn w:val="28"/>
    <w:link w:val="15"/>
    <w:semiHidden/>
    <w:qFormat/>
    <w:uiPriority w:val="99"/>
    <w:rPr>
      <w:b/>
      <w:bCs/>
    </w:rPr>
  </w:style>
  <w:style w:type="character" w:customStyle="1" w:styleId="30">
    <w:name w:val="批注框文本 Char"/>
    <w:basedOn w:val="18"/>
    <w:link w:val="11"/>
    <w:semiHidden/>
    <w:qFormat/>
    <w:uiPriority w:val="99"/>
    <w:rPr>
      <w:sz w:val="18"/>
      <w:szCs w:val="18"/>
    </w:rPr>
  </w:style>
  <w:style w:type="character" w:customStyle="1" w:styleId="31">
    <w:name w:val="正文文本缩进 Char1"/>
    <w:link w:val="9"/>
    <w:qFormat/>
    <w:uiPriority w:val="0"/>
    <w:rPr>
      <w:rFonts w:ascii="仿宋_GB2312" w:eastAsia="仿宋_GB2312"/>
      <w:sz w:val="32"/>
    </w:rPr>
  </w:style>
  <w:style w:type="character" w:customStyle="1" w:styleId="32">
    <w:name w:val="纯文本 Char"/>
    <w:link w:val="10"/>
    <w:qFormat/>
    <w:uiPriority w:val="0"/>
    <w:rPr>
      <w:rFonts w:ascii="宋体" w:hAnsi="Courier New" w:eastAsia="宋体" w:cs="Courier New"/>
      <w:szCs w:val="21"/>
    </w:rPr>
  </w:style>
  <w:style w:type="character" w:customStyle="1" w:styleId="33">
    <w:name w:val="正文文本缩进 Char"/>
    <w:basedOn w:val="18"/>
    <w:semiHidden/>
    <w:qFormat/>
    <w:uiPriority w:val="99"/>
  </w:style>
  <w:style w:type="character" w:customStyle="1" w:styleId="34">
    <w:name w:val="纯文本 Char1"/>
    <w:basedOn w:val="18"/>
    <w:semiHidden/>
    <w:qFormat/>
    <w:uiPriority w:val="99"/>
    <w:rPr>
      <w:rFonts w:ascii="宋体" w:hAnsi="Courier New" w:eastAsia="宋体" w:cs="Courier New"/>
      <w:szCs w:val="21"/>
    </w:rPr>
  </w:style>
  <w:style w:type="paragraph" w:customStyle="1" w:styleId="35">
    <w:name w:val="表格文字"/>
    <w:basedOn w:val="1"/>
    <w:next w:val="1"/>
    <w:qFormat/>
    <w:uiPriority w:val="0"/>
    <w:pPr>
      <w:jc w:val="left"/>
    </w:pPr>
    <w:rPr>
      <w:rFonts w:ascii="宋体" w:hAnsi="宋体" w:eastAsia="宋体" w:cs="宋体"/>
      <w:kern w:val="0"/>
      <w:sz w:val="24"/>
      <w:szCs w:val="20"/>
    </w:rPr>
  </w:style>
  <w:style w:type="paragraph" w:styleId="36">
    <w:name w:val="List Paragraph"/>
    <w:basedOn w:val="1"/>
    <w:qFormat/>
    <w:uiPriority w:val="34"/>
    <w:pPr>
      <w:spacing w:line="360" w:lineRule="auto"/>
      <w:ind w:firstLine="420" w:firstLineChars="200"/>
      <w:jc w:val="left"/>
    </w:pPr>
    <w:rPr>
      <w:rFonts w:ascii="宋体" w:hAnsi="宋体" w:eastAsia="宋体" w:cs="宋体"/>
      <w:kern w:val="0"/>
      <w:sz w:val="24"/>
      <w:szCs w:val="20"/>
    </w:rPr>
  </w:style>
  <w:style w:type="character" w:customStyle="1" w:styleId="37">
    <w:name w:val="正文文本 Char"/>
    <w:basedOn w:val="18"/>
    <w:link w:val="8"/>
    <w:semiHidden/>
    <w:qFormat/>
    <w:uiPriority w:val="99"/>
    <w:rPr>
      <w:kern w:val="2"/>
      <w:sz w:val="21"/>
      <w:szCs w:val="22"/>
    </w:rPr>
  </w:style>
  <w:style w:type="paragraph" w:customStyle="1" w:styleId="38">
    <w:name w:val="Table Paragraph"/>
    <w:basedOn w:val="1"/>
    <w:qFormat/>
    <w:uiPriority w:val="1"/>
    <w:pPr>
      <w:jc w:val="left"/>
    </w:pPr>
    <w:rPr>
      <w:rFonts w:ascii="Calibri" w:hAnsi="Calibri" w:eastAsia="宋体" w:cs="Times New Roman"/>
      <w:kern w:val="0"/>
      <w:sz w:val="22"/>
      <w:lang w:eastAsia="en-US"/>
    </w:rPr>
  </w:style>
  <w:style w:type="table" w:customStyle="1" w:styleId="39">
    <w:name w:val="Table Normal"/>
    <w:semiHidden/>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3CF2C5-8B51-464D-8526-90AAD5AF0E39}">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19</Pages>
  <Words>10585</Words>
  <Characters>11301</Characters>
  <Lines>32</Lines>
  <Paragraphs>9</Paragraphs>
  <TotalTime>62</TotalTime>
  <ScaleCrop>false</ScaleCrop>
  <LinksUpToDate>false</LinksUpToDate>
  <CharactersWithSpaces>11401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2022-04-25T02:08:00Z</dcterms:created>
  <dc:creator>ASUS</dc:creator>
  <cp:lastModifiedBy>冲，俊！</cp:lastModifiedBy>
  <cp:lastPrinted>2022-06-16T04:59:00Z</cp:lastPrinted>
  <dcterms:modified xsi:type="dcterms:W3CDTF">2022-06-16T06:54:59Z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0B53CE6FD0BE45E48B3C23A5570C46F5</vt:lpwstr>
  </property>
</Properties>
</file>