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微软雅黑" w:hAnsi="微软雅黑" w:eastAsia="微软雅黑" w:cs="微软雅黑"/>
          <w:color w:val="000000"/>
          <w:spacing w:val="20"/>
          <w:sz w:val="24"/>
        </w:rPr>
      </w:pPr>
      <w:bookmarkStart w:id="0" w:name="_GoBack"/>
      <w:bookmarkEnd w:id="0"/>
      <w:r>
        <w:rPr>
          <w:rFonts w:hint="eastAsia" w:ascii="微软雅黑" w:hAnsi="微软雅黑" w:eastAsia="微软雅黑" w:cs="微软雅黑"/>
          <w:b/>
          <w:color w:val="000000"/>
          <w:sz w:val="24"/>
        </w:rPr>
        <w:t>附表2:</w:t>
      </w:r>
      <w:r>
        <w:rPr>
          <w:rFonts w:hint="eastAsia" w:ascii="微软雅黑" w:hAnsi="微软雅黑" w:eastAsia="微软雅黑" w:cs="微软雅黑"/>
          <w:color w:val="000000"/>
          <w:spacing w:val="20"/>
          <w:sz w:val="24"/>
        </w:rPr>
        <w:t xml:space="preserve">  </w:t>
      </w:r>
    </w:p>
    <w:p>
      <w:pPr>
        <w:adjustRightInd w:val="0"/>
        <w:snapToGrid w:val="0"/>
        <w:spacing w:line="440" w:lineRule="exact"/>
        <w:contextualSpacing/>
        <w:jc w:val="center"/>
        <w:rPr>
          <w:rFonts w:ascii="微软雅黑" w:hAnsi="微软雅黑" w:eastAsia="微软雅黑" w:cs="微软雅黑"/>
          <w:color w:val="000000"/>
          <w:spacing w:val="20"/>
          <w:sz w:val="24"/>
        </w:rPr>
      </w:pPr>
      <w:r>
        <w:rPr>
          <w:rFonts w:hint="eastAsia" w:ascii="微软雅黑" w:hAnsi="微软雅黑" w:eastAsia="微软雅黑" w:cs="微软雅黑"/>
          <w:color w:val="000000"/>
          <w:spacing w:val="20"/>
          <w:sz w:val="24"/>
        </w:rPr>
        <w:t>评分标准表</w:t>
      </w:r>
    </w:p>
    <w:tbl>
      <w:tblPr>
        <w:tblStyle w:val="4"/>
        <w:tblW w:w="9796" w:type="dxa"/>
        <w:tblInd w:w="-830" w:type="dxa"/>
        <w:tblLayout w:type="fixed"/>
        <w:tblCellMar>
          <w:top w:w="15" w:type="dxa"/>
          <w:left w:w="15" w:type="dxa"/>
          <w:bottom w:w="15" w:type="dxa"/>
          <w:right w:w="15" w:type="dxa"/>
        </w:tblCellMar>
      </w:tblPr>
      <w:tblGrid>
        <w:gridCol w:w="720"/>
        <w:gridCol w:w="1128"/>
        <w:gridCol w:w="948"/>
        <w:gridCol w:w="6291"/>
        <w:gridCol w:w="709"/>
      </w:tblGrid>
      <w:tr>
        <w:tblPrEx>
          <w:tblCellMar>
            <w:top w:w="15" w:type="dxa"/>
            <w:left w:w="15" w:type="dxa"/>
            <w:bottom w:w="15" w:type="dxa"/>
            <w:right w:w="15" w:type="dxa"/>
          </w:tblCellMar>
        </w:tblPrEx>
        <w:trPr>
          <w:trHeight w:val="369" w:hRule="atLeast"/>
        </w:trPr>
        <w:tc>
          <w:tcPr>
            <w:tcW w:w="184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440" w:lineRule="exact"/>
              <w:contextualSpacing/>
              <w:jc w:val="center"/>
              <w:textAlignment w:val="center"/>
              <w:rPr>
                <w:rFonts w:ascii="微软雅黑" w:hAnsi="微软雅黑" w:eastAsia="微软雅黑" w:cs="微软雅黑"/>
                <w:color w:val="000000"/>
                <w:kern w:val="0"/>
                <w:sz w:val="24"/>
              </w:rPr>
            </w:pPr>
            <w:r>
              <w:rPr>
                <w:rFonts w:hint="eastAsia" w:ascii="微软雅黑" w:hAnsi="微软雅黑" w:eastAsia="微软雅黑" w:cs="微软雅黑"/>
                <w:color w:val="000000"/>
                <w:sz w:val="24"/>
              </w:rPr>
              <w:t>评标项目</w:t>
            </w:r>
          </w:p>
        </w:tc>
        <w:tc>
          <w:tcPr>
            <w:tcW w:w="9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440" w:lineRule="exact"/>
              <w:contextualSpacing/>
              <w:jc w:val="center"/>
              <w:textAlignment w:val="center"/>
              <w:rPr>
                <w:rFonts w:ascii="微软雅黑" w:hAnsi="微软雅黑" w:eastAsia="微软雅黑" w:cs="微软雅黑"/>
                <w:color w:val="000000"/>
                <w:kern w:val="0"/>
                <w:sz w:val="24"/>
              </w:rPr>
            </w:pPr>
            <w:r>
              <w:rPr>
                <w:rFonts w:hint="eastAsia" w:ascii="微软雅黑" w:hAnsi="微软雅黑" w:eastAsia="微软雅黑" w:cs="微软雅黑"/>
                <w:color w:val="000000"/>
                <w:kern w:val="0"/>
                <w:sz w:val="24"/>
              </w:rPr>
              <w:t>分值</w:t>
            </w:r>
          </w:p>
        </w:tc>
        <w:tc>
          <w:tcPr>
            <w:tcW w:w="629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kern w:val="0"/>
                <w:sz w:val="24"/>
              </w:rPr>
              <w:t>评分细则</w:t>
            </w:r>
          </w:p>
        </w:tc>
        <w:tc>
          <w:tcPr>
            <w:tcW w:w="709" w:type="dxa"/>
            <w:tcBorders>
              <w:top w:val="single" w:color="000000" w:sz="4" w:space="0"/>
              <w:left w:val="single" w:color="000000" w:sz="4" w:space="0"/>
              <w:bottom w:val="single" w:color="000000" w:sz="4" w:space="0"/>
              <w:right w:val="single" w:color="000000" w:sz="4" w:space="0"/>
            </w:tcBorders>
          </w:tcPr>
          <w:p>
            <w:pPr>
              <w:widowControl/>
              <w:snapToGrid w:val="0"/>
              <w:spacing w:line="440" w:lineRule="exact"/>
              <w:contextualSpacing/>
              <w:jc w:val="center"/>
              <w:textAlignment w:val="center"/>
              <w:rPr>
                <w:rFonts w:ascii="微软雅黑" w:hAnsi="微软雅黑" w:eastAsia="微软雅黑" w:cs="微软雅黑"/>
                <w:color w:val="000000"/>
                <w:kern w:val="0"/>
                <w:sz w:val="24"/>
              </w:rPr>
            </w:pPr>
            <w:r>
              <w:rPr>
                <w:rFonts w:hint="eastAsia" w:ascii="微软雅黑" w:hAnsi="微软雅黑" w:eastAsia="微软雅黑" w:cs="微软雅黑"/>
                <w:color w:val="000000"/>
                <w:kern w:val="0"/>
                <w:sz w:val="24"/>
              </w:rPr>
              <w:t xml:space="preserve">得     分  </w:t>
            </w:r>
          </w:p>
        </w:tc>
      </w:tr>
      <w:tr>
        <w:tblPrEx>
          <w:tblCellMar>
            <w:top w:w="15" w:type="dxa"/>
            <w:left w:w="15" w:type="dxa"/>
            <w:bottom w:w="15" w:type="dxa"/>
            <w:right w:w="15" w:type="dxa"/>
          </w:tblCellMar>
        </w:tblPrEx>
        <w:trPr>
          <w:trHeight w:val="3488" w:hRule="atLeast"/>
        </w:trPr>
        <w:tc>
          <w:tcPr>
            <w:tcW w:w="72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报价部分</w:t>
            </w:r>
          </w:p>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60分</w:t>
            </w:r>
          </w:p>
        </w:tc>
        <w:tc>
          <w:tcPr>
            <w:tcW w:w="1128"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报价</w:t>
            </w:r>
          </w:p>
        </w:tc>
        <w:tc>
          <w:tcPr>
            <w:tcW w:w="948" w:type="dxa"/>
            <w:tcBorders>
              <w:top w:val="single" w:color="000000" w:sz="4" w:space="0"/>
              <w:left w:val="single" w:color="000000" w:sz="4" w:space="0"/>
              <w:bottom w:val="single" w:color="000000" w:sz="4" w:space="0"/>
              <w:right w:val="single" w:color="000000" w:sz="4" w:space="0"/>
            </w:tcBorders>
          </w:tcPr>
          <w:p>
            <w:pPr>
              <w:widowControl/>
              <w:spacing w:line="440" w:lineRule="exact"/>
              <w:contextualSpacing/>
              <w:jc w:val="center"/>
              <w:textAlignment w:val="center"/>
              <w:rPr>
                <w:rFonts w:ascii="微软雅黑" w:hAnsi="微软雅黑" w:eastAsia="微软雅黑" w:cs="微软雅黑"/>
                <w:color w:val="000000"/>
                <w:sz w:val="24"/>
              </w:rPr>
            </w:pPr>
          </w:p>
          <w:p>
            <w:pPr>
              <w:widowControl/>
              <w:spacing w:line="440" w:lineRule="exact"/>
              <w:contextualSpacing/>
              <w:jc w:val="center"/>
              <w:textAlignment w:val="center"/>
              <w:rPr>
                <w:rFonts w:ascii="微软雅黑" w:hAnsi="微软雅黑" w:eastAsia="微软雅黑" w:cs="微软雅黑"/>
                <w:color w:val="000000"/>
                <w:sz w:val="24"/>
              </w:rPr>
            </w:pPr>
          </w:p>
          <w:p>
            <w:pPr>
              <w:widowControl/>
              <w:spacing w:line="440" w:lineRule="exact"/>
              <w:contextualSpacing/>
              <w:jc w:val="center"/>
              <w:textAlignment w:val="center"/>
              <w:rPr>
                <w:rFonts w:ascii="微软雅黑" w:hAnsi="微软雅黑" w:eastAsia="微软雅黑" w:cs="微软雅黑"/>
                <w:color w:val="000000"/>
                <w:sz w:val="24"/>
              </w:rPr>
            </w:pPr>
          </w:p>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60分</w:t>
            </w:r>
          </w:p>
        </w:tc>
        <w:tc>
          <w:tcPr>
            <w:tcW w:w="6291" w:type="dxa"/>
            <w:tcBorders>
              <w:top w:val="single" w:color="000000" w:sz="4" w:space="0"/>
              <w:left w:val="single" w:color="000000" w:sz="4" w:space="0"/>
              <w:bottom w:val="single" w:color="000000" w:sz="4" w:space="0"/>
              <w:right w:val="single" w:color="000000" w:sz="4" w:space="0"/>
            </w:tcBorders>
            <w:vAlign w:val="center"/>
          </w:tcPr>
          <w:p>
            <w:pPr>
              <w:spacing w:line="440" w:lineRule="exact"/>
              <w:rPr>
                <w:rFonts w:ascii="微软雅黑" w:hAnsi="微软雅黑" w:eastAsia="微软雅黑" w:cs="微软雅黑"/>
                <w:sz w:val="24"/>
              </w:rPr>
            </w:pPr>
            <w:r>
              <w:rPr>
                <w:rFonts w:hint="eastAsia" w:ascii="微软雅黑" w:hAnsi="微软雅黑" w:eastAsia="微软雅黑" w:cs="微软雅黑"/>
                <w:sz w:val="24"/>
              </w:rPr>
              <w:t>各投标人的投标报价与平均投标报价相比较（采用四舍五入的方法精确至小数点后二位），每上升1%扣2分，每下降1%扣1分，扣完为止。</w:t>
            </w:r>
          </w:p>
          <w:p>
            <w:pPr>
              <w:numPr>
                <w:ilvl w:val="0"/>
                <w:numId w:val="1"/>
              </w:numPr>
              <w:spacing w:line="440" w:lineRule="exact"/>
              <w:rPr>
                <w:rFonts w:ascii="微软雅黑" w:hAnsi="微软雅黑" w:eastAsia="微软雅黑" w:cs="微软雅黑"/>
                <w:sz w:val="24"/>
              </w:rPr>
            </w:pPr>
            <w:r>
              <w:rPr>
                <w:rFonts w:hint="eastAsia" w:ascii="微软雅黑" w:hAnsi="微软雅黑" w:eastAsia="微软雅黑" w:cs="微软雅黑"/>
                <w:sz w:val="24"/>
              </w:rPr>
              <w:t>当投标人投标报价大于平均投标价时：</w:t>
            </w:r>
          </w:p>
          <w:p>
            <w:pPr>
              <w:numPr>
                <w:ilvl w:val="0"/>
                <w:numId w:val="2"/>
              </w:numPr>
              <w:spacing w:line="440" w:lineRule="exact"/>
              <w:rPr>
                <w:rFonts w:ascii="微软雅黑" w:hAnsi="微软雅黑" w:eastAsia="微软雅黑" w:cs="微软雅黑"/>
                <w:sz w:val="24"/>
              </w:rPr>
            </w:pPr>
            <w:r>
              <w:rPr>
                <w:rFonts w:hint="eastAsia" w:ascii="微软雅黑" w:hAnsi="微软雅黑" w:eastAsia="微软雅黑" w:cs="微软雅黑"/>
                <w:sz w:val="24"/>
              </w:rPr>
              <w:t>（投标报价/平均报价-1）*100*2</w:t>
            </w:r>
          </w:p>
          <w:p>
            <w:pPr>
              <w:numPr>
                <w:ilvl w:val="0"/>
                <w:numId w:val="1"/>
              </w:numPr>
              <w:spacing w:line="440" w:lineRule="exact"/>
              <w:rPr>
                <w:rFonts w:ascii="微软雅黑" w:hAnsi="微软雅黑" w:eastAsia="微软雅黑" w:cs="微软雅黑"/>
                <w:sz w:val="24"/>
              </w:rPr>
            </w:pPr>
            <w:r>
              <w:rPr>
                <w:rFonts w:hint="eastAsia" w:ascii="微软雅黑" w:hAnsi="微软雅黑" w:eastAsia="微软雅黑" w:cs="微软雅黑"/>
                <w:sz w:val="24"/>
              </w:rPr>
              <w:t>当投标人投标报价小于平均投标报价时：</w:t>
            </w:r>
          </w:p>
          <w:p>
            <w:pPr>
              <w:widowControl/>
              <w:spacing w:line="440" w:lineRule="exact"/>
              <w:contextualSpacing/>
              <w:textAlignment w:val="center"/>
              <w:rPr>
                <w:rFonts w:ascii="微软雅黑" w:hAnsi="微软雅黑" w:eastAsia="微软雅黑" w:cs="微软雅黑"/>
                <w:color w:val="000000"/>
                <w:sz w:val="24"/>
              </w:rPr>
            </w:pPr>
            <w:r>
              <w:rPr>
                <w:rFonts w:hint="eastAsia" w:ascii="微软雅黑" w:hAnsi="微软雅黑" w:eastAsia="微软雅黑" w:cs="微软雅黑"/>
                <w:sz w:val="24"/>
              </w:rPr>
              <w:t>60-（投标报价/平均报价-1）*（-100）*1</w:t>
            </w:r>
          </w:p>
        </w:tc>
        <w:tc>
          <w:tcPr>
            <w:tcW w:w="709" w:type="dxa"/>
            <w:tcBorders>
              <w:top w:val="single" w:color="000000" w:sz="4" w:space="0"/>
              <w:left w:val="single" w:color="000000" w:sz="4" w:space="0"/>
              <w:bottom w:val="single" w:color="000000" w:sz="4" w:space="0"/>
              <w:right w:val="single" w:color="000000" w:sz="4" w:space="0"/>
            </w:tcBorders>
          </w:tcPr>
          <w:p>
            <w:pPr>
              <w:widowControl/>
              <w:spacing w:line="440" w:lineRule="exact"/>
              <w:contextualSpacing/>
              <w:jc w:val="center"/>
              <w:textAlignment w:val="center"/>
              <w:rPr>
                <w:rFonts w:ascii="微软雅黑" w:hAnsi="微软雅黑" w:eastAsia="微软雅黑" w:cs="微软雅黑"/>
                <w:color w:val="000000"/>
                <w:sz w:val="24"/>
              </w:rPr>
            </w:pPr>
          </w:p>
        </w:tc>
      </w:tr>
      <w:tr>
        <w:tblPrEx>
          <w:tblCellMar>
            <w:top w:w="15" w:type="dxa"/>
            <w:left w:w="15" w:type="dxa"/>
            <w:bottom w:w="15" w:type="dxa"/>
            <w:right w:w="15" w:type="dxa"/>
          </w:tblCellMar>
        </w:tblPrEx>
        <w:trPr>
          <w:trHeight w:val="1216" w:hRule="atLeast"/>
        </w:trPr>
        <w:tc>
          <w:tcPr>
            <w:tcW w:w="720" w:type="dxa"/>
            <w:vMerge w:val="restart"/>
            <w:tcBorders>
              <w:top w:val="single" w:color="000000" w:sz="4" w:space="0"/>
              <w:left w:val="single" w:color="000000"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 xml:space="preserve">综合技术部分 </w:t>
            </w:r>
          </w:p>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40分</w:t>
            </w:r>
          </w:p>
        </w:tc>
        <w:tc>
          <w:tcPr>
            <w:tcW w:w="112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资质</w:t>
            </w:r>
          </w:p>
        </w:tc>
        <w:tc>
          <w:tcPr>
            <w:tcW w:w="94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5分</w:t>
            </w:r>
          </w:p>
        </w:tc>
        <w:tc>
          <w:tcPr>
            <w:tcW w:w="6291" w:type="dxa"/>
            <w:tcBorders>
              <w:top w:val="single" w:color="000000" w:sz="4" w:space="0"/>
              <w:left w:val="single" w:color="000000" w:sz="4" w:space="0"/>
              <w:bottom w:val="single" w:color="auto" w:sz="4" w:space="0"/>
              <w:right w:val="single" w:color="000000" w:sz="4" w:space="0"/>
            </w:tcBorders>
            <w:vAlign w:val="center"/>
          </w:tcPr>
          <w:p>
            <w:pPr>
              <w:widowControl/>
              <w:spacing w:line="440" w:lineRule="exact"/>
              <w:contextualSpacing/>
              <w:jc w:val="left"/>
              <w:textAlignment w:val="center"/>
              <w:rPr>
                <w:rFonts w:ascii="微软雅黑" w:hAnsi="微软雅黑" w:eastAsia="微软雅黑" w:cs="微软雅黑"/>
                <w:color w:val="000000"/>
                <w:sz w:val="24"/>
              </w:rPr>
            </w:pPr>
            <w:r>
              <w:rPr>
                <w:rFonts w:hint="eastAsia" w:ascii="微软雅黑" w:hAnsi="微软雅黑" w:eastAsia="微软雅黑" w:cs="微软雅黑"/>
                <w:sz w:val="24"/>
              </w:rPr>
              <w:t>投标人具有国家特种设备（电梯）安装改造维修许可证B级资质得3分，A级资质得5分。</w:t>
            </w:r>
          </w:p>
        </w:tc>
        <w:tc>
          <w:tcPr>
            <w:tcW w:w="709" w:type="dxa"/>
            <w:tcBorders>
              <w:top w:val="single" w:color="000000" w:sz="4" w:space="0"/>
              <w:left w:val="single" w:color="000000" w:sz="4" w:space="0"/>
              <w:bottom w:val="single" w:color="000000" w:sz="4" w:space="0"/>
              <w:right w:val="single" w:color="000000" w:sz="4" w:space="0"/>
            </w:tcBorders>
          </w:tcPr>
          <w:p>
            <w:pPr>
              <w:widowControl/>
              <w:spacing w:line="440" w:lineRule="exact"/>
              <w:contextualSpacing/>
              <w:jc w:val="center"/>
              <w:textAlignment w:val="center"/>
              <w:rPr>
                <w:rFonts w:ascii="微软雅黑" w:hAnsi="微软雅黑" w:eastAsia="微软雅黑" w:cs="微软雅黑"/>
                <w:color w:val="000000"/>
                <w:sz w:val="24"/>
              </w:rPr>
            </w:pPr>
          </w:p>
        </w:tc>
      </w:tr>
      <w:tr>
        <w:tblPrEx>
          <w:tblCellMar>
            <w:top w:w="15" w:type="dxa"/>
            <w:left w:w="15" w:type="dxa"/>
            <w:bottom w:w="15" w:type="dxa"/>
            <w:right w:w="15" w:type="dxa"/>
          </w:tblCellMar>
        </w:tblPrEx>
        <w:trPr>
          <w:trHeight w:val="1336" w:hRule="atLeast"/>
        </w:trPr>
        <w:tc>
          <w:tcPr>
            <w:tcW w:w="720" w:type="dxa"/>
            <w:vMerge w:val="continue"/>
            <w:tcBorders>
              <w:left w:val="single" w:color="000000"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p>
        </w:tc>
        <w:tc>
          <w:tcPr>
            <w:tcW w:w="112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业绩</w:t>
            </w:r>
          </w:p>
        </w:tc>
        <w:tc>
          <w:tcPr>
            <w:tcW w:w="94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10分</w:t>
            </w:r>
          </w:p>
        </w:tc>
        <w:tc>
          <w:tcPr>
            <w:tcW w:w="6291" w:type="dxa"/>
            <w:tcBorders>
              <w:top w:val="single" w:color="000000" w:sz="4" w:space="0"/>
              <w:left w:val="single" w:color="000000" w:sz="4" w:space="0"/>
              <w:bottom w:val="single" w:color="auto" w:sz="4" w:space="0"/>
              <w:right w:val="single" w:color="000000" w:sz="4" w:space="0"/>
            </w:tcBorders>
            <w:vAlign w:val="center"/>
          </w:tcPr>
          <w:p>
            <w:pPr>
              <w:spacing w:line="440" w:lineRule="exact"/>
              <w:jc w:val="left"/>
              <w:rPr>
                <w:rFonts w:ascii="微软雅黑" w:hAnsi="微软雅黑" w:eastAsia="微软雅黑" w:cs="微软雅黑"/>
                <w:color w:val="000000"/>
                <w:sz w:val="24"/>
              </w:rPr>
            </w:pPr>
            <w:r>
              <w:rPr>
                <w:rFonts w:hint="eastAsia" w:ascii="微软雅黑" w:hAnsi="微软雅黑" w:eastAsia="微软雅黑" w:cs="微软雅黑"/>
                <w:sz w:val="24"/>
              </w:rPr>
              <w:t>投标人承担在黄石市近二年所电梯维保项目类似业绩，每例业绩得2分，满分10分。</w:t>
            </w:r>
          </w:p>
        </w:tc>
        <w:tc>
          <w:tcPr>
            <w:tcW w:w="709" w:type="dxa"/>
            <w:tcBorders>
              <w:top w:val="single" w:color="000000" w:sz="4" w:space="0"/>
              <w:left w:val="single" w:color="000000" w:sz="4" w:space="0"/>
              <w:bottom w:val="single" w:color="000000" w:sz="4" w:space="0"/>
              <w:right w:val="single" w:color="000000" w:sz="4" w:space="0"/>
            </w:tcBorders>
          </w:tcPr>
          <w:p>
            <w:pPr>
              <w:widowControl/>
              <w:spacing w:line="440" w:lineRule="exact"/>
              <w:contextualSpacing/>
              <w:jc w:val="center"/>
              <w:textAlignment w:val="center"/>
              <w:rPr>
                <w:rFonts w:ascii="微软雅黑" w:hAnsi="微软雅黑" w:eastAsia="微软雅黑" w:cs="微软雅黑"/>
                <w:color w:val="000000"/>
                <w:sz w:val="24"/>
              </w:rPr>
            </w:pPr>
          </w:p>
        </w:tc>
      </w:tr>
      <w:tr>
        <w:tblPrEx>
          <w:tblCellMar>
            <w:top w:w="15" w:type="dxa"/>
            <w:left w:w="15" w:type="dxa"/>
            <w:bottom w:w="15" w:type="dxa"/>
            <w:right w:w="15" w:type="dxa"/>
          </w:tblCellMar>
        </w:tblPrEx>
        <w:trPr>
          <w:trHeight w:val="1308" w:hRule="atLeast"/>
        </w:trPr>
        <w:tc>
          <w:tcPr>
            <w:tcW w:w="720" w:type="dxa"/>
            <w:vMerge w:val="continue"/>
            <w:tcBorders>
              <w:left w:val="single" w:color="000000"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p>
        </w:tc>
        <w:tc>
          <w:tcPr>
            <w:tcW w:w="112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零配件清单</w:t>
            </w:r>
          </w:p>
        </w:tc>
        <w:tc>
          <w:tcPr>
            <w:tcW w:w="94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15分</w:t>
            </w:r>
          </w:p>
        </w:tc>
        <w:tc>
          <w:tcPr>
            <w:tcW w:w="6291" w:type="dxa"/>
            <w:tcBorders>
              <w:top w:val="single" w:color="auto" w:sz="4" w:space="0"/>
              <w:left w:val="single" w:color="000000" w:sz="4" w:space="0"/>
              <w:bottom w:val="single" w:color="auto" w:sz="4" w:space="0"/>
              <w:right w:val="single" w:color="000000" w:sz="4" w:space="0"/>
            </w:tcBorders>
            <w:vAlign w:val="center"/>
          </w:tcPr>
          <w:p>
            <w:pPr>
              <w:spacing w:line="440" w:lineRule="exact"/>
              <w:jc w:val="left"/>
              <w:rPr>
                <w:rFonts w:ascii="微软雅黑" w:hAnsi="微软雅黑" w:eastAsia="微软雅黑" w:cs="微软雅黑"/>
                <w:color w:val="000000"/>
                <w:sz w:val="24"/>
              </w:rPr>
            </w:pPr>
            <w:r>
              <w:rPr>
                <w:rFonts w:hint="eastAsia" w:ascii="微软雅黑" w:hAnsi="微软雅黑" w:eastAsia="微软雅黑" w:cs="微软雅黑"/>
                <w:sz w:val="24"/>
              </w:rPr>
              <w:t>各投标人提供的XXX元以下零配件清单中所含内容最少清单为基础，每增加1项加0.5分，加满15分为止。</w:t>
            </w:r>
          </w:p>
        </w:tc>
        <w:tc>
          <w:tcPr>
            <w:tcW w:w="709" w:type="dxa"/>
            <w:tcBorders>
              <w:top w:val="single" w:color="000000" w:sz="4" w:space="0"/>
              <w:left w:val="single" w:color="000000" w:sz="4" w:space="0"/>
              <w:bottom w:val="single" w:color="000000" w:sz="4" w:space="0"/>
              <w:right w:val="single" w:color="000000" w:sz="4" w:space="0"/>
            </w:tcBorders>
          </w:tcPr>
          <w:p>
            <w:pPr>
              <w:widowControl/>
              <w:spacing w:line="440" w:lineRule="exact"/>
              <w:contextualSpacing/>
              <w:jc w:val="center"/>
              <w:textAlignment w:val="center"/>
              <w:rPr>
                <w:rFonts w:ascii="微软雅黑" w:hAnsi="微软雅黑" w:eastAsia="微软雅黑" w:cs="微软雅黑"/>
                <w:color w:val="000000"/>
                <w:sz w:val="24"/>
              </w:rPr>
            </w:pPr>
          </w:p>
        </w:tc>
      </w:tr>
      <w:tr>
        <w:tblPrEx>
          <w:tblCellMar>
            <w:top w:w="15" w:type="dxa"/>
            <w:left w:w="15" w:type="dxa"/>
            <w:bottom w:w="15" w:type="dxa"/>
            <w:right w:w="15" w:type="dxa"/>
          </w:tblCellMar>
        </w:tblPrEx>
        <w:trPr>
          <w:trHeight w:val="2354" w:hRule="atLeast"/>
        </w:trPr>
        <w:tc>
          <w:tcPr>
            <w:tcW w:w="720" w:type="dxa"/>
            <w:vMerge w:val="continue"/>
            <w:tcBorders>
              <w:left w:val="single" w:color="000000" w:sz="4" w:space="0"/>
              <w:bottom w:val="single" w:color="auto"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p>
        </w:tc>
        <w:tc>
          <w:tcPr>
            <w:tcW w:w="112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sz w:val="24"/>
              </w:rPr>
            </w:pPr>
          </w:p>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承诺</w:t>
            </w:r>
          </w:p>
        </w:tc>
        <w:tc>
          <w:tcPr>
            <w:tcW w:w="948" w:type="dxa"/>
            <w:tcBorders>
              <w:top w:val="single" w:color="auto" w:sz="4" w:space="0"/>
              <w:left w:val="single" w:color="000000" w:sz="4" w:space="0"/>
              <w:bottom w:val="single" w:color="auto" w:sz="4" w:space="0"/>
              <w:right w:val="single" w:color="000000" w:sz="4" w:space="0"/>
            </w:tcBorders>
            <w:vAlign w:val="center"/>
          </w:tcPr>
          <w:p>
            <w:pPr>
              <w:spacing w:line="440" w:lineRule="exact"/>
              <w:jc w:val="center"/>
              <w:rPr>
                <w:rFonts w:ascii="微软雅黑" w:hAnsi="微软雅黑" w:eastAsia="微软雅黑" w:cs="微软雅黑"/>
                <w:sz w:val="24"/>
              </w:rPr>
            </w:pPr>
          </w:p>
          <w:p>
            <w:pPr>
              <w:spacing w:line="440" w:lineRule="exact"/>
              <w:jc w:val="center"/>
              <w:rPr>
                <w:rFonts w:ascii="微软雅黑" w:hAnsi="微软雅黑" w:eastAsia="微软雅黑" w:cs="微软雅黑"/>
                <w:color w:val="000000"/>
                <w:sz w:val="24"/>
              </w:rPr>
            </w:pPr>
            <w:r>
              <w:rPr>
                <w:rFonts w:hint="eastAsia" w:ascii="微软雅黑" w:hAnsi="微软雅黑" w:eastAsia="微软雅黑" w:cs="微软雅黑"/>
                <w:sz w:val="24"/>
              </w:rPr>
              <w:t>10分</w:t>
            </w:r>
          </w:p>
        </w:tc>
        <w:tc>
          <w:tcPr>
            <w:tcW w:w="6291" w:type="dxa"/>
            <w:tcBorders>
              <w:top w:val="single" w:color="auto" w:sz="4" w:space="0"/>
              <w:left w:val="single" w:color="000000" w:sz="4" w:space="0"/>
              <w:bottom w:val="single" w:color="auto" w:sz="4" w:space="0"/>
              <w:right w:val="single" w:color="000000" w:sz="4" w:space="0"/>
            </w:tcBorders>
            <w:vAlign w:val="center"/>
          </w:tcPr>
          <w:p>
            <w:pPr>
              <w:spacing w:line="440" w:lineRule="exact"/>
              <w:jc w:val="left"/>
              <w:rPr>
                <w:rFonts w:ascii="微软雅黑" w:hAnsi="微软雅黑" w:eastAsia="微软雅黑" w:cs="微软雅黑"/>
                <w:color w:val="000000"/>
                <w:sz w:val="24"/>
              </w:rPr>
            </w:pPr>
            <w:r>
              <w:rPr>
                <w:rFonts w:hint="eastAsia" w:ascii="微软雅黑" w:hAnsi="微软雅黑" w:eastAsia="微软雅黑" w:cs="微软雅黑"/>
                <w:sz w:val="24"/>
              </w:rPr>
              <w:t>投标人提供二年内所维保的电梯未发生安全责任事故和违法记录的承诺得4分，提供维保期间优质服务；出现电梯困人故障，30分钟内赶赴现场实施紧急救援，发生其他故障，60分钟内赶赴现场实施电梯抢修的承诺得6分。</w:t>
            </w:r>
          </w:p>
        </w:tc>
        <w:tc>
          <w:tcPr>
            <w:tcW w:w="709" w:type="dxa"/>
            <w:tcBorders>
              <w:top w:val="single" w:color="000000" w:sz="4" w:space="0"/>
              <w:left w:val="single" w:color="000000" w:sz="4" w:space="0"/>
              <w:bottom w:val="single" w:color="000000" w:sz="4" w:space="0"/>
              <w:right w:val="single" w:color="000000" w:sz="4" w:space="0"/>
            </w:tcBorders>
          </w:tcPr>
          <w:p>
            <w:pPr>
              <w:widowControl/>
              <w:spacing w:line="440" w:lineRule="exact"/>
              <w:contextualSpacing/>
              <w:jc w:val="center"/>
              <w:textAlignment w:val="center"/>
              <w:rPr>
                <w:rFonts w:ascii="微软雅黑" w:hAnsi="微软雅黑" w:eastAsia="微软雅黑" w:cs="微软雅黑"/>
                <w:color w:val="000000"/>
                <w:sz w:val="24"/>
              </w:rPr>
            </w:pPr>
          </w:p>
        </w:tc>
      </w:tr>
      <w:tr>
        <w:tblPrEx>
          <w:tblCellMar>
            <w:top w:w="15" w:type="dxa"/>
            <w:left w:w="15" w:type="dxa"/>
            <w:bottom w:w="15" w:type="dxa"/>
            <w:right w:w="15" w:type="dxa"/>
          </w:tblCellMar>
        </w:tblPrEx>
        <w:trPr>
          <w:trHeight w:val="750" w:hRule="atLeast"/>
        </w:trPr>
        <w:tc>
          <w:tcPr>
            <w:tcW w:w="1848" w:type="dxa"/>
            <w:gridSpan w:val="2"/>
            <w:tcBorders>
              <w:top w:val="single" w:color="auto" w:sz="4" w:space="0"/>
              <w:left w:val="single" w:color="auto" w:sz="4" w:space="0"/>
              <w:bottom w:val="single" w:color="auto"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合计</w:t>
            </w:r>
          </w:p>
        </w:tc>
        <w:tc>
          <w:tcPr>
            <w:tcW w:w="948" w:type="dxa"/>
            <w:tcBorders>
              <w:top w:val="single" w:color="auto" w:sz="4" w:space="0"/>
              <w:left w:val="single" w:color="000000" w:sz="4" w:space="0"/>
              <w:bottom w:val="single" w:color="auto"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100分</w:t>
            </w:r>
          </w:p>
        </w:tc>
        <w:tc>
          <w:tcPr>
            <w:tcW w:w="6291" w:type="dxa"/>
            <w:tcBorders>
              <w:top w:val="single" w:color="000000" w:sz="4" w:space="0"/>
              <w:left w:val="single" w:color="000000" w:sz="4" w:space="0"/>
              <w:bottom w:val="single" w:color="auto"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contextualSpacing/>
              <w:jc w:val="center"/>
              <w:textAlignment w:val="center"/>
              <w:rPr>
                <w:rFonts w:ascii="微软雅黑" w:hAnsi="微软雅黑" w:eastAsia="微软雅黑" w:cs="微软雅黑"/>
                <w:color w:val="000000"/>
                <w:sz w:val="24"/>
              </w:rPr>
            </w:pPr>
          </w:p>
        </w:tc>
      </w:tr>
    </w:tbl>
    <w:p>
      <w:pPr>
        <w:widowControl/>
        <w:spacing w:line="440" w:lineRule="exact"/>
        <w:contextualSpacing/>
        <w:jc w:val="center"/>
        <w:textAlignment w:val="center"/>
        <w:rPr>
          <w:rFonts w:ascii="微软雅黑" w:hAnsi="微软雅黑" w:eastAsia="微软雅黑" w:cs="微软雅黑"/>
          <w:color w:val="000000"/>
          <w:szCs w:val="21"/>
          <w:shd w:val="clear" w:color="auto" w:fill="FFFFFF"/>
        </w:rPr>
      </w:pPr>
      <w:r>
        <w:rPr>
          <w:rFonts w:hint="eastAsia" w:ascii="宋体" w:hAnsi="宋体" w:cs="宋体"/>
          <w:color w:val="000000"/>
          <w:szCs w:val="21"/>
        </w:rPr>
        <w:t xml:space="preserve">   </w:t>
      </w:r>
      <w:r>
        <w:rPr>
          <w:rFonts w:hint="eastAsia" w:ascii="宋体" w:hAnsi="宋体"/>
          <w:color w:val="000000"/>
          <w:spacing w:val="20"/>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26F047"/>
    <w:multiLevelType w:val="singleLevel"/>
    <w:tmpl w:val="A226F047"/>
    <w:lvl w:ilvl="0" w:tentative="0">
      <w:start w:val="1"/>
      <w:numFmt w:val="decimal"/>
      <w:lvlText w:val="%1."/>
      <w:lvlJc w:val="left"/>
      <w:pPr>
        <w:tabs>
          <w:tab w:val="left" w:pos="312"/>
        </w:tabs>
      </w:pPr>
    </w:lvl>
  </w:abstractNum>
  <w:abstractNum w:abstractNumId="1">
    <w:nsid w:val="7BD485DF"/>
    <w:multiLevelType w:val="singleLevel"/>
    <w:tmpl w:val="7BD485DF"/>
    <w:lvl w:ilvl="0" w:tentative="0">
      <w:start w:val="60"/>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C6262"/>
    <w:rsid w:val="00145889"/>
    <w:rsid w:val="00AF6BE1"/>
    <w:rsid w:val="04EE0E23"/>
    <w:rsid w:val="08101899"/>
    <w:rsid w:val="0C8B1CC7"/>
    <w:rsid w:val="0E8108BF"/>
    <w:rsid w:val="10E13448"/>
    <w:rsid w:val="117A4431"/>
    <w:rsid w:val="18721470"/>
    <w:rsid w:val="19FA6279"/>
    <w:rsid w:val="1B7A051D"/>
    <w:rsid w:val="1CB36846"/>
    <w:rsid w:val="20686196"/>
    <w:rsid w:val="21887B26"/>
    <w:rsid w:val="21B752DA"/>
    <w:rsid w:val="262A4AF0"/>
    <w:rsid w:val="27011F7C"/>
    <w:rsid w:val="2AF80227"/>
    <w:rsid w:val="306151C4"/>
    <w:rsid w:val="34004CCF"/>
    <w:rsid w:val="38EA61F1"/>
    <w:rsid w:val="3C4E00D5"/>
    <w:rsid w:val="3CF25D17"/>
    <w:rsid w:val="3F06477F"/>
    <w:rsid w:val="40257A5E"/>
    <w:rsid w:val="4151424F"/>
    <w:rsid w:val="42AA346F"/>
    <w:rsid w:val="437E12A0"/>
    <w:rsid w:val="447C059B"/>
    <w:rsid w:val="4A5E6D19"/>
    <w:rsid w:val="4B8A0042"/>
    <w:rsid w:val="4E8D0B5F"/>
    <w:rsid w:val="579E2761"/>
    <w:rsid w:val="58D10E64"/>
    <w:rsid w:val="5C230E54"/>
    <w:rsid w:val="62182EBE"/>
    <w:rsid w:val="65B50F95"/>
    <w:rsid w:val="66B3785C"/>
    <w:rsid w:val="68D73305"/>
    <w:rsid w:val="6C473987"/>
    <w:rsid w:val="77546563"/>
    <w:rsid w:val="775C6262"/>
    <w:rsid w:val="78CC6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ind w:firstLine="830" w:firstLineChars="352"/>
    </w:pPr>
    <w:rPr>
      <w:rFonts w:ascii="仿宋_GB2312" w:eastAsia="仿宋_GB2312"/>
      <w:sz w:val="32"/>
      <w:szCs w:val="20"/>
    </w:r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309</Words>
  <Characters>1764</Characters>
  <Lines>14</Lines>
  <Paragraphs>4</Paragraphs>
  <TotalTime>16</TotalTime>
  <ScaleCrop>false</ScaleCrop>
  <LinksUpToDate>false</LinksUpToDate>
  <CharactersWithSpaces>2069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2021-03-04T02:37:00Z</dcterms:created>
  <dc:creator>啊伟</dc:creator>
  <cp:lastModifiedBy>Admin</cp:lastModifiedBy>
  <cp:lastPrinted>2021-03-03T03:21:00Z</cp:lastPrinted>
  <dcterms:modified xsi:type="dcterms:W3CDTF">2021-03-05T07:51:45Z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